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EC4D" w14:textId="77777777" w:rsidR="00CC0A57" w:rsidRPr="00983A96" w:rsidRDefault="00CC0A57" w:rsidP="00CC0A57">
      <w:pPr>
        <w:spacing w:after="0" w:line="240" w:lineRule="auto"/>
        <w:jc w:val="right"/>
        <w:rPr>
          <w:rFonts w:ascii="Times New Roman" w:eastAsia="Calibri" w:hAnsi="Times New Roman" w:cs="Times New Roman"/>
          <w:i/>
          <w:iCs/>
          <w:kern w:val="0"/>
          <w:sz w:val="24"/>
          <w:szCs w:val="24"/>
          <w:lang w:val="en-US"/>
          <w14:ligatures w14:val="none"/>
        </w:rPr>
      </w:pPr>
      <w:r w:rsidRPr="00983A96">
        <w:rPr>
          <w:rFonts w:ascii="Times New Roman" w:eastAsia="Calibri" w:hAnsi="Times New Roman" w:cs="Times New Roman"/>
          <w:i/>
          <w:iCs/>
          <w:kern w:val="0"/>
          <w:sz w:val="24"/>
          <w:szCs w:val="24"/>
          <w:lang w:val="en-US"/>
          <w14:ligatures w14:val="none"/>
        </w:rPr>
        <w:t xml:space="preserve">Translation from Romanian into English </w:t>
      </w:r>
    </w:p>
    <w:p w14:paraId="03C22BF4" w14:textId="77777777" w:rsidR="00CC0A57" w:rsidRPr="00983A96" w:rsidRDefault="00CC0A57" w:rsidP="00CC0A57">
      <w:pPr>
        <w:spacing w:after="0" w:line="240" w:lineRule="auto"/>
        <w:jc w:val="right"/>
        <w:rPr>
          <w:rFonts w:ascii="Times New Roman" w:eastAsia="Calibri" w:hAnsi="Times New Roman" w:cs="Times New Roman"/>
          <w:b/>
          <w:bCs/>
          <w:kern w:val="0"/>
          <w:sz w:val="28"/>
          <w:szCs w:val="28"/>
          <w:lang w:val="en-US"/>
          <w14:ligatures w14:val="none"/>
        </w:rPr>
      </w:pPr>
      <w:r w:rsidRPr="00983A96">
        <w:rPr>
          <w:rFonts w:ascii="Times New Roman" w:eastAsia="Calibri" w:hAnsi="Times New Roman" w:cs="Times New Roman"/>
          <w:b/>
          <w:bCs/>
          <w:kern w:val="0"/>
          <w:sz w:val="28"/>
          <w:szCs w:val="28"/>
          <w:lang w:val="en-US"/>
          <w14:ligatures w14:val="none"/>
        </w:rPr>
        <w:t>EU</w:t>
      </w:r>
    </w:p>
    <w:p w14:paraId="49A5657D" w14:textId="77777777" w:rsidR="00DA1D5C" w:rsidRDefault="00DA1D5C" w:rsidP="00CC0A57">
      <w:pPr>
        <w:spacing w:after="0" w:line="240" w:lineRule="auto"/>
        <w:jc w:val="center"/>
        <w:rPr>
          <w:rFonts w:ascii="Times New Roman" w:eastAsia="Calibri" w:hAnsi="Times New Roman" w:cs="Times New Roman"/>
          <w:kern w:val="0"/>
          <w:sz w:val="24"/>
          <w:szCs w:val="24"/>
          <w:lang w:val="en-US"/>
          <w14:ligatures w14:val="none"/>
        </w:rPr>
      </w:pPr>
    </w:p>
    <w:p w14:paraId="0ED38568" w14:textId="17CDB4FF" w:rsidR="00CC0A57" w:rsidRPr="00983A96" w:rsidRDefault="00CC0A57" w:rsidP="00CC0A57">
      <w:pPr>
        <w:spacing w:after="0" w:line="240" w:lineRule="auto"/>
        <w:jc w:val="center"/>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EXECUTIVE BOARD</w:t>
      </w:r>
    </w:p>
    <w:p w14:paraId="63B1917D" w14:textId="77777777" w:rsidR="00CC0A57" w:rsidRPr="00983A96" w:rsidRDefault="00CC0A57" w:rsidP="00CC0A57">
      <w:pPr>
        <w:spacing w:after="0" w:line="240" w:lineRule="auto"/>
        <w:jc w:val="center"/>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OF THE NATIONAL BANK OF MOLDOVA</w:t>
      </w:r>
    </w:p>
    <w:p w14:paraId="2E2756C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638FF7D" w14:textId="5ECA6944"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DECISION No.</w:t>
      </w:r>
      <w:r w:rsidR="00DA1D5C">
        <w:rPr>
          <w:rFonts w:ascii="Times New Roman" w:eastAsia="Calibri" w:hAnsi="Times New Roman" w:cs="Times New Roman"/>
          <w:b/>
          <w:bCs/>
          <w:kern w:val="0"/>
          <w:sz w:val="24"/>
          <w:szCs w:val="24"/>
          <w:lang w:val="en-US"/>
          <w14:ligatures w14:val="none"/>
        </w:rPr>
        <w:t>176</w:t>
      </w:r>
    </w:p>
    <w:p w14:paraId="43AE272A" w14:textId="35653E03"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as of </w:t>
      </w:r>
      <w:r w:rsidR="00DA1D5C">
        <w:rPr>
          <w:rFonts w:ascii="Times New Roman" w:eastAsia="Calibri" w:hAnsi="Times New Roman" w:cs="Times New Roman"/>
          <w:b/>
          <w:bCs/>
          <w:kern w:val="0"/>
          <w:sz w:val="24"/>
          <w:szCs w:val="24"/>
          <w:lang w:val="en-US"/>
          <w14:ligatures w14:val="none"/>
        </w:rPr>
        <w:t>31July</w:t>
      </w:r>
      <w:r w:rsidRPr="00983A96">
        <w:rPr>
          <w:rFonts w:ascii="Times New Roman" w:eastAsia="Calibri" w:hAnsi="Times New Roman" w:cs="Times New Roman"/>
          <w:b/>
          <w:bCs/>
          <w:kern w:val="0"/>
          <w:sz w:val="24"/>
          <w:szCs w:val="24"/>
          <w:lang w:val="en-US"/>
          <w14:ligatures w14:val="none"/>
        </w:rPr>
        <w:t>, 20</w:t>
      </w:r>
      <w:r w:rsidR="00DA1D5C">
        <w:rPr>
          <w:rFonts w:ascii="Times New Roman" w:eastAsia="Calibri" w:hAnsi="Times New Roman" w:cs="Times New Roman"/>
          <w:b/>
          <w:bCs/>
          <w:kern w:val="0"/>
          <w:sz w:val="24"/>
          <w:szCs w:val="24"/>
          <w:lang w:val="en-US"/>
          <w14:ligatures w14:val="none"/>
        </w:rPr>
        <w:t>25</w:t>
      </w:r>
    </w:p>
    <w:p w14:paraId="0B215E6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A2FA80E"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On the approval of the Regulation on the leverage and the amendment of certain normative acts of the National Bank of Moldova</w:t>
      </w:r>
    </w:p>
    <w:p w14:paraId="314EE69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AF22AD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 xml:space="preserve">Pursuant to Article </w:t>
      </w:r>
      <w:proofErr w:type="gramStart"/>
      <w:r w:rsidRPr="00983A96">
        <w:rPr>
          <w:rFonts w:ascii="Times New Roman" w:eastAsia="Calibri" w:hAnsi="Times New Roman" w:cs="Times New Roman"/>
          <w:kern w:val="0"/>
          <w:sz w:val="24"/>
          <w:szCs w:val="24"/>
          <w:lang w:val="en-US"/>
          <w14:ligatures w14:val="none"/>
        </w:rPr>
        <w:t>44 point</w:t>
      </w:r>
      <w:proofErr w:type="gramEnd"/>
      <w:r w:rsidRPr="00983A96">
        <w:rPr>
          <w:rFonts w:ascii="Times New Roman" w:eastAsia="Calibri" w:hAnsi="Times New Roman" w:cs="Times New Roman"/>
          <w:kern w:val="0"/>
          <w:sz w:val="24"/>
          <w:szCs w:val="24"/>
          <w:lang w:val="en-US"/>
          <w14:ligatures w14:val="none"/>
        </w:rPr>
        <w:t xml:space="preserve"> a) of Law on the National Bank of Moldova No. 548/1995 (republished in the Official Gazette of the Republic of Moldova, 2015, No. 297–300, Article 544), and Article 77 of Law on banking activity No. 202/2017 (Official Gazette of the Republic of Moldova, 2017, No. 434–439, Article 727), the Executive Board of the National Bank of Moldova</w:t>
      </w:r>
    </w:p>
    <w:p w14:paraId="7761719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04F6347"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DECIDES:</w:t>
      </w:r>
    </w:p>
    <w:p w14:paraId="30A0884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 xml:space="preserve">This Decision partially transposes (transposes Article 1 point (a); Article 4 paragraphs 93 and 139; Article 92 para. </w:t>
      </w:r>
      <w:r w:rsidRPr="007001BE">
        <w:rPr>
          <w:rFonts w:ascii="Times New Roman" w:eastAsia="Calibri" w:hAnsi="Times New Roman" w:cs="Times New Roman"/>
          <w:kern w:val="0"/>
          <w:sz w:val="24"/>
          <w:szCs w:val="24"/>
          <w:lang w:val="pt-BR"/>
          <w14:ligatures w14:val="none"/>
        </w:rPr>
        <w:t xml:space="preserve">(1) point (d); Articles 429, 429a para. (1) points (b), (c), (f)–(l), (n), paras. (4)–(7); 429b, 429c, 429d, 429e, 429f, 429g; Article 430 para. </w:t>
      </w:r>
      <w:r w:rsidRPr="00983A96">
        <w:rPr>
          <w:rFonts w:ascii="Times New Roman" w:eastAsia="Calibri" w:hAnsi="Times New Roman" w:cs="Times New Roman"/>
          <w:kern w:val="0"/>
          <w:sz w:val="24"/>
          <w:szCs w:val="24"/>
          <w:lang w:val="en-US"/>
          <w14:ligatures w14:val="none"/>
        </w:rPr>
        <w:t>(1) point (a) and para. (2); and Article 451 para. (1) point (a)) of Regulation (EU) No. 575/2013 of the European Parliament and of the Council of 26 June 2013 on prudential requirements for credit institutions and amending Regulation (EU) No. 648/2012, published in the Official Journal of the European Union L 176 as of 27 June 2013, CELEX: 32013R0575, as last amended by Regulation (EU) 2024/1623 of the European Parliament and of the Council of 31 May 2024.</w:t>
      </w:r>
    </w:p>
    <w:p w14:paraId="19985AB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4DCF94C" w14:textId="77777777" w:rsidR="00CC0A57" w:rsidRPr="00983A96" w:rsidRDefault="00CC0A57" w:rsidP="00CC0A57">
      <w:pPr>
        <w:numPr>
          <w:ilvl w:val="0"/>
          <w:numId w:val="2"/>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The Regulation on the Leverage, as laid down in the Annex, is hereby approved.</w:t>
      </w:r>
    </w:p>
    <w:p w14:paraId="2C5491C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3696FD6" w14:textId="77777777" w:rsidR="00CC0A57" w:rsidRPr="00983A96" w:rsidRDefault="00CC0A57" w:rsidP="00CC0A57">
      <w:pPr>
        <w:numPr>
          <w:ilvl w:val="0"/>
          <w:numId w:val="2"/>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Paragraph 130 of the Regulation on banks’ own funds and capital requirements, approved by Decision No. 109/2018 of the Executive Board of the National Bank of Moldova  (Official Gazette of the Republic of Moldova, 2018, No. 183–194, Article 899), registered with the Ministry of Justice of the Republic of Moldova under No. 1332/2018, shall be supplemented with subparagraph 4), which shall read as follows: “4) a leverage ratio of 3%.”</w:t>
      </w:r>
    </w:p>
    <w:p w14:paraId="3EF437D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A0EF771" w14:textId="77777777" w:rsidR="00CC0A57" w:rsidRPr="00983A96" w:rsidRDefault="00CC0A57" w:rsidP="00CC0A57">
      <w:pPr>
        <w:numPr>
          <w:ilvl w:val="0"/>
          <w:numId w:val="2"/>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The Regulation on the Banking Activity Management Framework, approved by Decision No. 322/2018 of the Executive Board of the National Bank of Moldova (Official Gazette of the Republic of Moldova, 2019, No. 1–5, Article 56), registered with the Ministry of Justice of the Republic of Moldova under No. 1400/2018, shall be amended as follows:</w:t>
      </w:r>
    </w:p>
    <w:p w14:paraId="6B3776B3" w14:textId="5B5A15BB"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3.1. In paragraph 324</w:t>
      </w:r>
      <w:r w:rsidRPr="00983A96">
        <w:rPr>
          <w:rFonts w:ascii="Times New Roman" w:eastAsia="Calibri" w:hAnsi="Times New Roman" w:cs="Times New Roman"/>
          <w:kern w:val="0"/>
          <w:sz w:val="24"/>
          <w:szCs w:val="24"/>
          <w:vertAlign w:val="superscript"/>
          <w:lang w:val="en-US"/>
          <w14:ligatures w14:val="none"/>
        </w:rPr>
        <w:t>1</w:t>
      </w:r>
      <w:r w:rsidRPr="00983A96">
        <w:rPr>
          <w:rFonts w:ascii="Times New Roman" w:eastAsia="Calibri" w:hAnsi="Times New Roman" w:cs="Times New Roman"/>
          <w:kern w:val="0"/>
          <w:sz w:val="24"/>
          <w:szCs w:val="24"/>
          <w:lang w:val="en-US"/>
          <w14:ligatures w14:val="none"/>
        </w:rPr>
        <w:t>, the wording “Regulation on leverage for banks No. 274/2020” shall be replaced with the wording “Regulation on the leverage, approved by Decision No. XX/202X of the Executive Board of the National Bank of Moldova”.</w:t>
      </w:r>
    </w:p>
    <w:p w14:paraId="49D1AA4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3.2. In Annex 2</w:t>
      </w:r>
      <w:r w:rsidRPr="00983A96">
        <w:rPr>
          <w:rFonts w:ascii="Times New Roman" w:eastAsia="Calibri" w:hAnsi="Times New Roman" w:cs="Times New Roman"/>
          <w:kern w:val="0"/>
          <w:sz w:val="24"/>
          <w:szCs w:val="24"/>
          <w:vertAlign w:val="superscript"/>
          <w:lang w:val="en-US"/>
          <w14:ligatures w14:val="none"/>
        </w:rPr>
        <w:t>2</w:t>
      </w:r>
      <w:r w:rsidRPr="00983A96">
        <w:rPr>
          <w:rFonts w:ascii="Times New Roman" w:eastAsia="Calibri" w:hAnsi="Times New Roman" w:cs="Times New Roman"/>
          <w:kern w:val="0"/>
          <w:sz w:val="24"/>
          <w:szCs w:val="24"/>
          <w:lang w:val="en-US"/>
          <w14:ligatures w14:val="none"/>
        </w:rPr>
        <w:t>:</w:t>
      </w:r>
    </w:p>
    <w:p w14:paraId="0B7DA24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3.2.1. In paragraph 1, subparagraph 3), the word “Ratio” shall be replaced with the word “Indicator</w:t>
      </w:r>
      <w:proofErr w:type="gramStart"/>
      <w:r w:rsidRPr="00983A96">
        <w:rPr>
          <w:rFonts w:ascii="Times New Roman" w:eastAsia="Calibri" w:hAnsi="Times New Roman" w:cs="Times New Roman"/>
          <w:kern w:val="0"/>
          <w:sz w:val="24"/>
          <w:szCs w:val="24"/>
          <w:lang w:val="en-US"/>
          <w14:ligatures w14:val="none"/>
        </w:rPr>
        <w:t>”;</w:t>
      </w:r>
      <w:proofErr w:type="gramEnd"/>
    </w:p>
    <w:p w14:paraId="6DC78B1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3.2.2. Paragraph 2 shall read as follows:</w:t>
      </w:r>
    </w:p>
    <w:p w14:paraId="1B307AAE" w14:textId="77777777" w:rsidR="00CC0A57" w:rsidRPr="00983A96" w:rsidRDefault="00CC0A57" w:rsidP="00CC0A57">
      <w:pPr>
        <w:spacing w:after="0" w:line="240" w:lineRule="auto"/>
        <w:ind w:firstLine="360"/>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“2. Liquidity indicators:</w:t>
      </w:r>
    </w:p>
    <w:p w14:paraId="2DDF2008" w14:textId="77777777" w:rsidR="00CC0A57" w:rsidRPr="00983A96" w:rsidRDefault="00CC0A57" w:rsidP="00CC0A57">
      <w:pPr>
        <w:numPr>
          <w:ilvl w:val="0"/>
          <w:numId w:val="3"/>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Liquidity coverage ratio (LCR</w:t>
      </w:r>
      <w:proofErr w:type="gramStart"/>
      <w:r w:rsidRPr="00983A96">
        <w:rPr>
          <w:rFonts w:ascii="Times New Roman" w:eastAsia="Calibri" w:hAnsi="Times New Roman" w:cs="Times New Roman"/>
          <w:kern w:val="0"/>
          <w:sz w:val="24"/>
          <w:szCs w:val="24"/>
          <w:lang w:val="en-US"/>
          <w14:ligatures w14:val="none"/>
        </w:rPr>
        <w:t>);</w:t>
      </w:r>
      <w:proofErr w:type="gramEnd"/>
    </w:p>
    <w:p w14:paraId="63DC9CEF" w14:textId="77777777" w:rsidR="00CC0A57" w:rsidRPr="00983A96" w:rsidRDefault="00CC0A57" w:rsidP="00CC0A57">
      <w:pPr>
        <w:numPr>
          <w:ilvl w:val="0"/>
          <w:numId w:val="3"/>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Net stable funding ratio (NSFR</w:t>
      </w:r>
      <w:proofErr w:type="gramStart"/>
      <w:r w:rsidRPr="00983A96">
        <w:rPr>
          <w:rFonts w:ascii="Times New Roman" w:eastAsia="Calibri" w:hAnsi="Times New Roman" w:cs="Times New Roman"/>
          <w:kern w:val="0"/>
          <w:sz w:val="24"/>
          <w:szCs w:val="24"/>
          <w:lang w:val="en-US"/>
          <w14:ligatures w14:val="none"/>
        </w:rPr>
        <w:t>);</w:t>
      </w:r>
      <w:proofErr w:type="gramEnd"/>
    </w:p>
    <w:p w14:paraId="217D6859" w14:textId="77777777" w:rsidR="00CC0A57" w:rsidRPr="00983A96" w:rsidRDefault="00CC0A57" w:rsidP="00CC0A57">
      <w:pPr>
        <w:numPr>
          <w:ilvl w:val="0"/>
          <w:numId w:val="3"/>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Available and unencumbered eligible assets that meet the eligibility requirements imposed by the National Bank of Moldova.</w:t>
      </w:r>
    </w:p>
    <w:p w14:paraId="6318EAE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DF8B88C" w14:textId="77777777" w:rsidR="00CC0A57" w:rsidRPr="00983A96" w:rsidRDefault="00CC0A57" w:rsidP="00CC0A57">
      <w:pPr>
        <w:numPr>
          <w:ilvl w:val="0"/>
          <w:numId w:val="2"/>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Annex No. 1 to the Regulation on banks’ disclosure requirements, approved by Decision No. 158/2020 of the Executive Board of the National Bank of Moldova (Official Gazette of the Republic of Moldova, 2020, No. 188–192, Article 667), registered with the Ministry of Justice of the Republic of Moldova under No. 1581/2020, shall be amended as follows:</w:t>
      </w:r>
    </w:p>
    <w:p w14:paraId="59CCACC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C0D009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4.1. In the table, indicator No. 1 “Capital” shall be supplemented with position 1.13 and sub-positions 1.13.1 and 1.13.2, which shall read as follows:</w:t>
      </w:r>
    </w:p>
    <w:p w14:paraId="39DBB64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tbl>
      <w:tblPr>
        <w:tblStyle w:val="TableGrid"/>
        <w:tblW w:w="9204" w:type="dxa"/>
        <w:tblInd w:w="567" w:type="dxa"/>
        <w:tblLook w:val="04A0" w:firstRow="1" w:lastRow="0" w:firstColumn="1" w:lastColumn="0" w:noHBand="0" w:noVBand="1"/>
      </w:tblPr>
      <w:tblGrid>
        <w:gridCol w:w="816"/>
        <w:gridCol w:w="3644"/>
        <w:gridCol w:w="1130"/>
        <w:gridCol w:w="938"/>
        <w:gridCol w:w="938"/>
        <w:gridCol w:w="938"/>
        <w:gridCol w:w="800"/>
      </w:tblGrid>
      <w:tr w:rsidR="00CC0A57" w:rsidRPr="00983A96" w14:paraId="269802AB" w14:textId="77777777" w:rsidTr="00450F41">
        <w:tc>
          <w:tcPr>
            <w:tcW w:w="776" w:type="dxa"/>
            <w:shd w:val="clear" w:color="auto" w:fill="CCFFFF"/>
          </w:tcPr>
          <w:p w14:paraId="3CEDC34D"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1.13</w:t>
            </w:r>
          </w:p>
        </w:tc>
        <w:tc>
          <w:tcPr>
            <w:tcW w:w="3731" w:type="dxa"/>
            <w:shd w:val="clear" w:color="auto" w:fill="CCFFFF"/>
          </w:tcPr>
          <w:p w14:paraId="086A2935"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Leverage ratio indicator</w:t>
            </w:r>
          </w:p>
        </w:tc>
        <w:tc>
          <w:tcPr>
            <w:tcW w:w="987" w:type="dxa"/>
            <w:shd w:val="clear" w:color="auto" w:fill="CCFFFF"/>
          </w:tcPr>
          <w:p w14:paraId="6BBB8DA0"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shd w:val="clear" w:color="auto" w:fill="CCFFFF"/>
          </w:tcPr>
          <w:p w14:paraId="153515E2"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shd w:val="clear" w:color="auto" w:fill="CCFFFF"/>
          </w:tcPr>
          <w:p w14:paraId="3095422A"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shd w:val="clear" w:color="auto" w:fill="CCFFFF"/>
          </w:tcPr>
          <w:p w14:paraId="69180E89"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821" w:type="dxa"/>
            <w:shd w:val="clear" w:color="auto" w:fill="CCFFFF"/>
          </w:tcPr>
          <w:p w14:paraId="5AF29055"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r>
      <w:tr w:rsidR="00CC0A57" w:rsidRPr="00983A96" w14:paraId="5B90F0BB" w14:textId="77777777" w:rsidTr="00450F41">
        <w:tc>
          <w:tcPr>
            <w:tcW w:w="776" w:type="dxa"/>
          </w:tcPr>
          <w:p w14:paraId="30AB2247"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1.13.1</w:t>
            </w:r>
          </w:p>
        </w:tc>
        <w:tc>
          <w:tcPr>
            <w:tcW w:w="3731" w:type="dxa"/>
          </w:tcPr>
          <w:p w14:paraId="304ED490"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Total exposure measure indicator</w:t>
            </w:r>
          </w:p>
        </w:tc>
        <w:tc>
          <w:tcPr>
            <w:tcW w:w="987" w:type="dxa"/>
          </w:tcPr>
          <w:p w14:paraId="5B3D58D3"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roofErr w:type="spellStart"/>
            <w:r w:rsidRPr="00983A96">
              <w:rPr>
                <w:rFonts w:ascii="Times New Roman" w:eastAsia="Times New Roman" w:hAnsi="Times New Roman" w:cs="Times New Roman"/>
                <w:kern w:val="0"/>
                <w:sz w:val="24"/>
                <w:szCs w:val="24"/>
                <w:lang w:val="en-US" w:eastAsia="ro-MD"/>
                <w14:ligatures w14:val="none"/>
              </w:rPr>
              <w:t>mil.MDL</w:t>
            </w:r>
            <w:proofErr w:type="spellEnd"/>
          </w:p>
        </w:tc>
        <w:tc>
          <w:tcPr>
            <w:tcW w:w="963" w:type="dxa"/>
          </w:tcPr>
          <w:p w14:paraId="5B857F8D"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tcPr>
          <w:p w14:paraId="2B7B2974"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tcPr>
          <w:p w14:paraId="2EF209D4"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821" w:type="dxa"/>
          </w:tcPr>
          <w:p w14:paraId="166FD6D2"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r>
      <w:tr w:rsidR="00CC0A57" w:rsidRPr="00983A96" w14:paraId="244EBAE5" w14:textId="77777777" w:rsidTr="00450F41">
        <w:tc>
          <w:tcPr>
            <w:tcW w:w="776" w:type="dxa"/>
          </w:tcPr>
          <w:p w14:paraId="627029D9"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1.13.2</w:t>
            </w:r>
          </w:p>
        </w:tc>
        <w:tc>
          <w:tcPr>
            <w:tcW w:w="3731" w:type="dxa"/>
          </w:tcPr>
          <w:p w14:paraId="0402439A" w14:textId="77777777" w:rsidR="00CC0A57" w:rsidRPr="00983A96" w:rsidRDefault="00CC0A57" w:rsidP="00CC0A57">
            <w:pPr>
              <w:rPr>
                <w:rFonts w:ascii="Times New Roman" w:eastAsia="Times New Roman" w:hAnsi="Times New Roman" w:cs="Times New Roman"/>
                <w:kern w:val="0"/>
                <w:sz w:val="24"/>
                <w:szCs w:val="24"/>
                <w:vertAlign w:val="superscript"/>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Leverage ratio indicator</w:t>
            </w:r>
            <w:r w:rsidRPr="00983A96">
              <w:rPr>
                <w:rFonts w:ascii="Times New Roman" w:eastAsia="Times New Roman" w:hAnsi="Times New Roman" w:cs="Times New Roman"/>
                <w:kern w:val="0"/>
                <w:sz w:val="24"/>
                <w:szCs w:val="24"/>
                <w:vertAlign w:val="superscript"/>
                <w:lang w:val="en-US" w:eastAsia="ro-MD"/>
                <w14:ligatures w14:val="none"/>
              </w:rPr>
              <w:t>2a</w:t>
            </w:r>
          </w:p>
        </w:tc>
        <w:tc>
          <w:tcPr>
            <w:tcW w:w="987" w:type="dxa"/>
          </w:tcPr>
          <w:p w14:paraId="65E80F49"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r w:rsidRPr="00983A96">
              <w:rPr>
                <w:rFonts w:ascii="Times New Roman" w:eastAsia="Times New Roman" w:hAnsi="Times New Roman" w:cs="Times New Roman"/>
                <w:kern w:val="0"/>
                <w:sz w:val="24"/>
                <w:szCs w:val="24"/>
                <w:lang w:val="en-US" w:eastAsia="ro-MD"/>
                <w14:ligatures w14:val="none"/>
              </w:rPr>
              <w:t>%</w:t>
            </w:r>
          </w:p>
        </w:tc>
        <w:tc>
          <w:tcPr>
            <w:tcW w:w="963" w:type="dxa"/>
          </w:tcPr>
          <w:p w14:paraId="129F4108"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tcPr>
          <w:p w14:paraId="028E9DC3"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963" w:type="dxa"/>
          </w:tcPr>
          <w:p w14:paraId="3446EAC0"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c>
          <w:tcPr>
            <w:tcW w:w="821" w:type="dxa"/>
          </w:tcPr>
          <w:p w14:paraId="1FA8A856" w14:textId="77777777" w:rsidR="00CC0A57" w:rsidRPr="00983A96" w:rsidRDefault="00CC0A57" w:rsidP="00CC0A57">
            <w:pPr>
              <w:rPr>
                <w:rFonts w:ascii="Times New Roman" w:eastAsia="Times New Roman" w:hAnsi="Times New Roman" w:cs="Times New Roman"/>
                <w:kern w:val="0"/>
                <w:sz w:val="24"/>
                <w:szCs w:val="24"/>
                <w:lang w:val="en-US" w:eastAsia="ro-MD"/>
                <w14:ligatures w14:val="none"/>
              </w:rPr>
            </w:pPr>
          </w:p>
        </w:tc>
      </w:tr>
    </w:tbl>
    <w:p w14:paraId="7B6499E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D708A3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4.2. In the section “Method of calculating certain indicators”, after paragraph 2, paragraph 2a shall be inserted with the following content:</w:t>
      </w:r>
    </w:p>
    <w:p w14:paraId="4173E18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59F1D8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w:t>
      </w:r>
      <w:r w:rsidRPr="00983A96">
        <w:rPr>
          <w:rFonts w:ascii="Times New Roman" w:eastAsia="Calibri" w:hAnsi="Times New Roman" w:cs="Times New Roman"/>
          <w:kern w:val="0"/>
          <w:sz w:val="24"/>
          <w:szCs w:val="24"/>
          <w:vertAlign w:val="superscript"/>
          <w:lang w:val="en-US"/>
          <w14:ligatures w14:val="none"/>
        </w:rPr>
        <w:t>2a</w:t>
      </w:r>
      <w:r w:rsidRPr="00983A96">
        <w:rPr>
          <w:rFonts w:ascii="Times New Roman" w:eastAsia="Calibri" w:hAnsi="Times New Roman" w:cs="Times New Roman"/>
          <w:kern w:val="0"/>
          <w:sz w:val="24"/>
          <w:szCs w:val="24"/>
          <w:lang w:val="en-US"/>
          <w14:ligatures w14:val="none"/>
        </w:rPr>
        <w:t>. The leverage ratio indicator shall be calculated by dividing the bank's capital measure indicator by the bank's total exposure measure indicator and shall be expressed as a percentage, in accordance with the Regulation on leverage, approved by Decision No. XX/2025. of the Executive Board of the National Bank of Moldova”</w:t>
      </w:r>
    </w:p>
    <w:p w14:paraId="143CB41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7D4927D" w14:textId="2A009408" w:rsidR="00CC0A57" w:rsidRPr="00983A96" w:rsidRDefault="00CC0A57" w:rsidP="00CC0A57">
      <w:pPr>
        <w:numPr>
          <w:ilvl w:val="0"/>
          <w:numId w:val="2"/>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Decision of the Executive Board of the National Bank of Moldova No. 274/2020 approving the Regulation on the leverage for banks (Official Gazette of the Republic of Moldova, 2020, No. 360–371, Article 1443), registered with the Ministry of Justice of the Republic of Moldova under No. 1610/2020, shall be repealed.</w:t>
      </w:r>
    </w:p>
    <w:p w14:paraId="3104CCF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0379D1C" w14:textId="77777777" w:rsidR="00CC0A57" w:rsidRPr="00983A96" w:rsidRDefault="00CC0A57" w:rsidP="00CC0A57">
      <w:pPr>
        <w:numPr>
          <w:ilvl w:val="0"/>
          <w:numId w:val="2"/>
        </w:numPr>
        <w:spacing w:after="0" w:line="240" w:lineRule="auto"/>
        <w:contextualSpacing/>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This decision shall enter into force on 1 January 2026.</w:t>
      </w:r>
    </w:p>
    <w:p w14:paraId="1093074D" w14:textId="77777777" w:rsidR="00CC0A57" w:rsidRPr="00983A96" w:rsidRDefault="00CC0A57" w:rsidP="00CC0A57">
      <w:pPr>
        <w:spacing w:line="240" w:lineRule="auto"/>
        <w:ind w:left="720"/>
        <w:contextualSpacing/>
        <w:rPr>
          <w:rFonts w:ascii="Times New Roman" w:eastAsia="Calibri" w:hAnsi="Times New Roman" w:cs="Times New Roman"/>
          <w:kern w:val="0"/>
          <w:sz w:val="24"/>
          <w:szCs w:val="24"/>
          <w:lang w:val="en-US"/>
          <w14:ligatures w14:val="none"/>
        </w:rPr>
      </w:pPr>
    </w:p>
    <w:p w14:paraId="738BDD6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7BA913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B62A7B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2C8765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F719CA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494C9A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B09FC7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9273C6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145B0F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9A289E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B91807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7FB46B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DD4349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0F17BF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B2D6BA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888A77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D8E1F8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05B817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1817CF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FA4741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30756F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BA0719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5326D3E" w14:textId="77777777" w:rsidR="00CC0A57" w:rsidRPr="00983A96" w:rsidRDefault="00CC0A57" w:rsidP="00CC0A57">
      <w:pPr>
        <w:spacing w:after="0" w:line="240" w:lineRule="auto"/>
        <w:jc w:val="right"/>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Annex</w:t>
      </w:r>
    </w:p>
    <w:p w14:paraId="2A95D6FD" w14:textId="77777777" w:rsidR="00CC0A57" w:rsidRPr="00983A96" w:rsidRDefault="00CC0A57" w:rsidP="00CC0A57">
      <w:pPr>
        <w:spacing w:after="0" w:line="240" w:lineRule="auto"/>
        <w:jc w:val="right"/>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to Decision of the Executive Board</w:t>
      </w:r>
    </w:p>
    <w:p w14:paraId="51657E4D" w14:textId="77777777" w:rsidR="00CC0A57" w:rsidRPr="00983A96" w:rsidRDefault="00CC0A57" w:rsidP="00CC0A57">
      <w:pPr>
        <w:spacing w:after="0" w:line="240" w:lineRule="auto"/>
        <w:jc w:val="right"/>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of the National Bank of Moldova</w:t>
      </w:r>
    </w:p>
    <w:p w14:paraId="3DAB3A5F" w14:textId="77777777" w:rsidR="00CC0A57" w:rsidRPr="00983A96" w:rsidRDefault="00CC0A57" w:rsidP="00CC0A57">
      <w:pPr>
        <w:spacing w:after="0" w:line="240" w:lineRule="auto"/>
        <w:jc w:val="right"/>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No. 176 of 31 July 2025</w:t>
      </w:r>
    </w:p>
    <w:p w14:paraId="6CEB25A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4105B07" w14:textId="733BBC5D"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REGULATION ON THE LEVERAGE </w:t>
      </w:r>
    </w:p>
    <w:p w14:paraId="5280C9A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1C3CDC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bookmarkStart w:id="0" w:name="_Hlk205963757"/>
      <w:r w:rsidRPr="00983A96">
        <w:rPr>
          <w:rFonts w:ascii="Times New Roman" w:eastAsia="Calibri" w:hAnsi="Times New Roman" w:cs="Times New Roman"/>
          <w:kern w:val="0"/>
          <w:sz w:val="24"/>
          <w:szCs w:val="24"/>
          <w:lang w:val="en-US"/>
          <w14:ligatures w14:val="none"/>
        </w:rPr>
        <w:t xml:space="preserve">This Regulation partially transposes (transposes Article 1, point (a); Article 4, paragraphs 93 and 139; Articles 429, 429a para. </w:t>
      </w:r>
      <w:r w:rsidRPr="007001BE">
        <w:rPr>
          <w:rFonts w:ascii="Times New Roman" w:eastAsia="Calibri" w:hAnsi="Times New Roman" w:cs="Times New Roman"/>
          <w:kern w:val="0"/>
          <w:sz w:val="24"/>
          <w:szCs w:val="24"/>
          <w:lang w:val="pt-BR"/>
          <w14:ligatures w14:val="none"/>
        </w:rPr>
        <w:t xml:space="preserve">(1) points (b), (c), (f)–(l), (n), paras. (4)–(7); 429b, 429c, 429d, 429e, 429f, 429g; Article 430 para. </w:t>
      </w:r>
      <w:r w:rsidRPr="00983A96">
        <w:rPr>
          <w:rFonts w:ascii="Times New Roman" w:eastAsia="Calibri" w:hAnsi="Times New Roman" w:cs="Times New Roman"/>
          <w:kern w:val="0"/>
          <w:sz w:val="24"/>
          <w:szCs w:val="24"/>
          <w:lang w:val="en-US"/>
          <w14:ligatures w14:val="none"/>
        </w:rPr>
        <w:t xml:space="preserve">(1) point (a) and para. (2); and Article 451 para. (1) point (a)) </w:t>
      </w:r>
      <w:bookmarkEnd w:id="0"/>
      <w:r w:rsidRPr="00983A96">
        <w:rPr>
          <w:rFonts w:ascii="Times New Roman" w:eastAsia="Calibri" w:hAnsi="Times New Roman" w:cs="Times New Roman"/>
          <w:kern w:val="0"/>
          <w:sz w:val="24"/>
          <w:szCs w:val="24"/>
          <w:lang w:val="en-US"/>
          <w14:ligatures w14:val="none"/>
        </w:rPr>
        <w:t>of Regulation (EU) No. 575/2013 of the European Parliament and of the Council of 26 June 2013 on prudential requirements for credit institutions and amending Regulation (EU) No. 648/2012, published in the Official Journal of the European Union L 176 of 27 June 2013, CELEX: 32013R0575, as last amended by Regulation (EU) 2024/1623 of the European Parliament and of the Council of 31 May 2024.</w:t>
      </w:r>
    </w:p>
    <w:p w14:paraId="3FBB00A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415A01A"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Chapter I</w:t>
      </w:r>
    </w:p>
    <w:p w14:paraId="4CABC236"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GENERAL PROVISIONS</w:t>
      </w:r>
    </w:p>
    <w:p w14:paraId="7446775E"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p>
    <w:p w14:paraId="4E5E449D" w14:textId="55B6243C"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1. </w:t>
      </w:r>
      <w:r w:rsidRPr="00983A96">
        <w:rPr>
          <w:rFonts w:ascii="Times New Roman" w:eastAsia="Calibri" w:hAnsi="Times New Roman" w:cs="Times New Roman"/>
          <w:kern w:val="0"/>
          <w:sz w:val="24"/>
          <w:szCs w:val="24"/>
          <w:lang w:val="en-US"/>
          <w14:ligatures w14:val="none"/>
        </w:rPr>
        <w:t>The Regulation on the leverage (hereinafter – the Regulation) lays down the rules to be observed by banks that are legal entities in the Republic of Moldova, as well as the branches in the Republic of Moldova of banks from other states (hereinafter – the banks), for the purpose of defining, calculating, and reporting the leverage ratio.</w:t>
      </w:r>
    </w:p>
    <w:p w14:paraId="117B116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9586CF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w:t>
      </w:r>
      <w:r w:rsidRPr="00983A96">
        <w:rPr>
          <w:rFonts w:ascii="Times New Roman" w:eastAsia="Calibri" w:hAnsi="Times New Roman" w:cs="Times New Roman"/>
          <w:kern w:val="0"/>
          <w:sz w:val="24"/>
          <w:szCs w:val="24"/>
          <w:lang w:val="en-US"/>
          <w14:ligatures w14:val="none"/>
        </w:rPr>
        <w:t xml:space="preserve"> Banks shall comply with the provisions of this Regulation on an individual basis.</w:t>
      </w:r>
    </w:p>
    <w:p w14:paraId="105A49C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2CD3AA5"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3. </w:t>
      </w:r>
      <w:r w:rsidRPr="00983A96">
        <w:rPr>
          <w:rFonts w:ascii="Times New Roman" w:eastAsia="Calibri" w:hAnsi="Times New Roman" w:cs="Times New Roman"/>
          <w:kern w:val="0"/>
          <w:sz w:val="24"/>
          <w:szCs w:val="24"/>
          <w:lang w:val="en-US"/>
          <w14:ligatures w14:val="none"/>
        </w:rPr>
        <w:t>Banks shall meet the requirements set out in Chapter II of this Regulation on a consolidated basis, under the conditions and according to the methods provided in the Regulation on consolidated supervision of banks, approved by Decision No. 101/2020 of the Executive Board of the National Bank of Moldova.</w:t>
      </w:r>
    </w:p>
    <w:p w14:paraId="464FC69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D82C2C1"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4. </w:t>
      </w:r>
      <w:r w:rsidRPr="00983A96">
        <w:rPr>
          <w:rFonts w:ascii="Times New Roman" w:eastAsia="Calibri" w:hAnsi="Times New Roman" w:cs="Times New Roman"/>
          <w:kern w:val="0"/>
          <w:sz w:val="24"/>
          <w:szCs w:val="24"/>
          <w:lang w:val="en-US"/>
          <w14:ligatures w14:val="none"/>
        </w:rPr>
        <w:t xml:space="preserve">The terms and expressions used in this Regulation shall have the meaning assigned to them in Law on bank activity No. 202/2017 (hereinafter – Law No. 202/2017) and in the normative acts of the National Bank of Moldova (hereinafter – NBM) issued for the implementation of the </w:t>
      </w:r>
      <w:proofErr w:type="gramStart"/>
      <w:r w:rsidRPr="00983A96">
        <w:rPr>
          <w:rFonts w:ascii="Times New Roman" w:eastAsia="Calibri" w:hAnsi="Times New Roman" w:cs="Times New Roman"/>
          <w:kern w:val="0"/>
          <w:sz w:val="24"/>
          <w:szCs w:val="24"/>
          <w:lang w:val="en-US"/>
          <w14:ligatures w14:val="none"/>
        </w:rPr>
        <w:t>aforementioned Law</w:t>
      </w:r>
      <w:proofErr w:type="gramEnd"/>
      <w:r w:rsidRPr="00983A96">
        <w:rPr>
          <w:rFonts w:ascii="Times New Roman" w:eastAsia="Calibri" w:hAnsi="Times New Roman" w:cs="Times New Roman"/>
          <w:kern w:val="0"/>
          <w:sz w:val="24"/>
          <w:szCs w:val="24"/>
          <w:lang w:val="en-US"/>
          <w14:ligatures w14:val="none"/>
        </w:rPr>
        <w:t>.</w:t>
      </w:r>
    </w:p>
    <w:p w14:paraId="1C766AE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5EF5B36"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w:t>
      </w:r>
      <w:r w:rsidRPr="00983A96">
        <w:rPr>
          <w:rFonts w:ascii="Times New Roman" w:eastAsia="Calibri" w:hAnsi="Times New Roman" w:cs="Times New Roman"/>
          <w:kern w:val="0"/>
          <w:sz w:val="24"/>
          <w:szCs w:val="24"/>
          <w:lang w:val="en-US"/>
          <w14:ligatures w14:val="none"/>
        </w:rPr>
        <w:t xml:space="preserve"> For the purposes of this Regulation, the following definitions shall apply:</w:t>
      </w:r>
    </w:p>
    <w:p w14:paraId="4A8AEAC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E5E9F8D" w14:textId="73CC03AE"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5.1.</w:t>
      </w:r>
      <w:r w:rsidRPr="00983A96">
        <w:rPr>
          <w:rFonts w:ascii="Times New Roman" w:eastAsia="Calibri" w:hAnsi="Times New Roman" w:cs="Times New Roman"/>
          <w:kern w:val="0"/>
          <w:sz w:val="24"/>
          <w:szCs w:val="24"/>
          <w:lang w:val="en-US"/>
          <w14:ligatures w14:val="none"/>
        </w:rPr>
        <w:t xml:space="preserve"> “Leverage” means the relative size of a bank’s assets, off-balance sheet obligations and contingent obligations to pay or to deliver or to provide collateral, including obligations from received </w:t>
      </w:r>
      <w:r w:rsidR="00934B81" w:rsidRPr="00983A96">
        <w:rPr>
          <w:rFonts w:ascii="Times New Roman" w:eastAsia="Calibri" w:hAnsi="Times New Roman" w:cs="Times New Roman"/>
          <w:kern w:val="0"/>
          <w:sz w:val="24"/>
          <w:szCs w:val="24"/>
          <w:lang w:val="en-US"/>
          <w14:ligatures w14:val="none"/>
        </w:rPr>
        <w:t>funding</w:t>
      </w:r>
      <w:r w:rsidRPr="00983A96">
        <w:rPr>
          <w:rFonts w:ascii="Times New Roman" w:eastAsia="Calibri" w:hAnsi="Times New Roman" w:cs="Times New Roman"/>
          <w:kern w:val="0"/>
          <w:sz w:val="24"/>
          <w:szCs w:val="24"/>
          <w:lang w:val="en-US"/>
          <w14:ligatures w14:val="none"/>
        </w:rPr>
        <w:t>, made commitments, derivative or repurchase agreements, but excluding obligations which can only be enforced during the liquidation of a bank, compared to that bank’s own funds.</w:t>
      </w:r>
    </w:p>
    <w:p w14:paraId="1F1BBF5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6881B4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5.2.</w:t>
      </w:r>
      <w:r w:rsidRPr="00983A96">
        <w:rPr>
          <w:rFonts w:ascii="Times New Roman" w:eastAsia="Calibri" w:hAnsi="Times New Roman" w:cs="Times New Roman"/>
          <w:kern w:val="0"/>
          <w:sz w:val="24"/>
          <w:szCs w:val="24"/>
          <w:lang w:val="en-US"/>
          <w14:ligatures w14:val="none"/>
        </w:rPr>
        <w:t xml:space="preserve"> “Securities financing transaction” means a repurchase transaction, a securities or commodities lending or borrowing transaction, or a margin lending transaction.</w:t>
      </w:r>
    </w:p>
    <w:p w14:paraId="2E8B9F9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D75C55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A21370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7491B3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AA65A6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AE8306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8960F0E"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Chapter II</w:t>
      </w:r>
    </w:p>
    <w:p w14:paraId="7FCC3691"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CALCULATION OF THE LEVERAGE RATIO</w:t>
      </w:r>
    </w:p>
    <w:p w14:paraId="58565881"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1 – Leverage ratio calculation formula</w:t>
      </w:r>
    </w:p>
    <w:p w14:paraId="038E223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EC320D2"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w:t>
      </w:r>
      <w:r w:rsidRPr="00983A96">
        <w:rPr>
          <w:rFonts w:ascii="Times New Roman" w:eastAsia="Calibri" w:hAnsi="Times New Roman" w:cs="Times New Roman"/>
          <w:kern w:val="0"/>
          <w:sz w:val="24"/>
          <w:szCs w:val="24"/>
          <w:lang w:val="en-US"/>
          <w14:ligatures w14:val="none"/>
        </w:rPr>
        <w:t xml:space="preserve"> Banks shall calculate their leverage ratio in accordance with the methodology set out in paragraphs 7–11.</w:t>
      </w:r>
    </w:p>
    <w:p w14:paraId="1ECF02C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6A9D10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7.</w:t>
      </w:r>
      <w:r w:rsidRPr="00983A96">
        <w:rPr>
          <w:rFonts w:ascii="Times New Roman" w:eastAsia="Calibri" w:hAnsi="Times New Roman" w:cs="Times New Roman"/>
          <w:kern w:val="0"/>
          <w:sz w:val="24"/>
          <w:szCs w:val="24"/>
          <w:lang w:val="en-US"/>
          <w14:ligatures w14:val="none"/>
        </w:rPr>
        <w:t xml:space="preserve"> The leverage ratio shall be calculated as a bank’s capital measure divided by that bank’s total exposure measure and shall be expressed as a percentage.</w:t>
      </w:r>
    </w:p>
    <w:p w14:paraId="3BC4B96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Banks shall calculate the leverage ratio at the reporting reference date.</w:t>
      </w:r>
    </w:p>
    <w:p w14:paraId="0508B52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A1A56C2" w14:textId="09E808E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8.</w:t>
      </w:r>
      <w:r w:rsidRPr="00983A96">
        <w:rPr>
          <w:rFonts w:ascii="Times New Roman" w:eastAsia="Calibri" w:hAnsi="Times New Roman" w:cs="Times New Roman"/>
          <w:kern w:val="0"/>
          <w:sz w:val="24"/>
          <w:szCs w:val="24"/>
          <w:lang w:val="en-US"/>
          <w14:ligatures w14:val="none"/>
        </w:rPr>
        <w:t xml:space="preserve"> For the purposes of paragraph 7, the capital measure </w:t>
      </w:r>
      <w:r w:rsidR="0033028F" w:rsidRPr="00983A96">
        <w:rPr>
          <w:rFonts w:ascii="Times New Roman" w:eastAsia="Calibri" w:hAnsi="Times New Roman" w:cs="Times New Roman"/>
          <w:kern w:val="0"/>
          <w:sz w:val="24"/>
          <w:szCs w:val="24"/>
          <w:lang w:val="en-US"/>
          <w14:ligatures w14:val="none"/>
        </w:rPr>
        <w:t>shall be the</w:t>
      </w:r>
      <w:r w:rsidRPr="00983A96">
        <w:rPr>
          <w:rFonts w:ascii="Times New Roman" w:eastAsia="Calibri" w:hAnsi="Times New Roman" w:cs="Times New Roman"/>
          <w:kern w:val="0"/>
          <w:sz w:val="24"/>
          <w:szCs w:val="24"/>
          <w:lang w:val="en-US"/>
          <w14:ligatures w14:val="none"/>
        </w:rPr>
        <w:t xml:space="preserve"> Tier 1 </w:t>
      </w:r>
      <w:r w:rsidR="0033028F" w:rsidRPr="00983A96">
        <w:rPr>
          <w:rFonts w:ascii="Times New Roman" w:eastAsia="Calibri" w:hAnsi="Times New Roman" w:cs="Times New Roman"/>
          <w:kern w:val="0"/>
          <w:sz w:val="24"/>
          <w:szCs w:val="24"/>
          <w:lang w:val="en-US"/>
          <w14:ligatures w14:val="none"/>
        </w:rPr>
        <w:t>capital</w:t>
      </w:r>
      <w:r w:rsidRPr="00983A96">
        <w:rPr>
          <w:rFonts w:ascii="Times New Roman" w:eastAsia="Calibri" w:hAnsi="Times New Roman" w:cs="Times New Roman"/>
          <w:kern w:val="0"/>
          <w:sz w:val="24"/>
          <w:szCs w:val="24"/>
          <w:lang w:val="en-US"/>
          <w14:ligatures w14:val="none"/>
        </w:rPr>
        <w:t>.</w:t>
      </w:r>
    </w:p>
    <w:p w14:paraId="1F7F362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E4D62A9"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2 – Total exposure measure</w:t>
      </w:r>
    </w:p>
    <w:p w14:paraId="29CEEE3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294D74C" w14:textId="25A96BC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9.</w:t>
      </w:r>
      <w:r w:rsidRPr="00983A96">
        <w:rPr>
          <w:rFonts w:ascii="Times New Roman" w:eastAsia="Calibri" w:hAnsi="Times New Roman" w:cs="Times New Roman"/>
          <w:kern w:val="0"/>
          <w:sz w:val="24"/>
          <w:szCs w:val="24"/>
          <w:lang w:val="en-US"/>
          <w14:ligatures w14:val="none"/>
        </w:rPr>
        <w:t xml:space="preserve"> For the purposes of paragraph 7, the total exposure measure shall be the sum of the exposure values of:</w:t>
      </w:r>
    </w:p>
    <w:p w14:paraId="23143E0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A9B531A" w14:textId="6F990C3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9.1.</w:t>
      </w:r>
      <w:r w:rsidRPr="00983A96">
        <w:rPr>
          <w:rFonts w:ascii="Times New Roman" w:eastAsia="Calibri" w:hAnsi="Times New Roman" w:cs="Times New Roman"/>
          <w:kern w:val="0"/>
          <w:sz w:val="24"/>
          <w:szCs w:val="24"/>
          <w:lang w:val="en-US"/>
          <w14:ligatures w14:val="none"/>
        </w:rPr>
        <w:t xml:space="preserve"> assets, excluding derivative contracts listed in Annex No. 1 of the Regulation on the treatment of market risk according to the standardized approach, approved by Decision of the Executive Board of the NBM No. 114/2018 (hereinafter – Regulation No. 114/2018), credit derivative and positions referred to in Section 7, calculated in accordance with paragraph </w:t>
      </w:r>
      <w:proofErr w:type="gramStart"/>
      <w:r w:rsidRPr="00983A96">
        <w:rPr>
          <w:rFonts w:ascii="Times New Roman" w:eastAsia="Calibri" w:hAnsi="Times New Roman" w:cs="Times New Roman"/>
          <w:kern w:val="0"/>
          <w:sz w:val="24"/>
          <w:szCs w:val="24"/>
          <w:lang w:val="en-US"/>
          <w14:ligatures w14:val="none"/>
        </w:rPr>
        <w:t>24;</w:t>
      </w:r>
      <w:proofErr w:type="gramEnd"/>
    </w:p>
    <w:p w14:paraId="13CFF9C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CADAE91" w14:textId="5D772A3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9.2.</w:t>
      </w:r>
      <w:r w:rsidRPr="00983A96">
        <w:rPr>
          <w:rFonts w:ascii="Times New Roman" w:eastAsia="Calibri" w:hAnsi="Times New Roman" w:cs="Times New Roman"/>
          <w:kern w:val="0"/>
          <w:sz w:val="24"/>
          <w:szCs w:val="24"/>
          <w:lang w:val="en-US"/>
          <w14:ligatures w14:val="none"/>
        </w:rPr>
        <w:t xml:space="preserve"> derivative contracts listed in Annex No. 1 of Regulation No. 114/2018 and credit derivative, including those contracts and credit derivative that are off-balance-sheet, calculated in accordance with Sections 5 and </w:t>
      </w:r>
      <w:proofErr w:type="gramStart"/>
      <w:r w:rsidRPr="00983A96">
        <w:rPr>
          <w:rFonts w:ascii="Times New Roman" w:eastAsia="Calibri" w:hAnsi="Times New Roman" w:cs="Times New Roman"/>
          <w:kern w:val="0"/>
          <w:sz w:val="24"/>
          <w:szCs w:val="24"/>
          <w:lang w:val="en-US"/>
          <w14:ligatures w14:val="none"/>
        </w:rPr>
        <w:t>6;</w:t>
      </w:r>
      <w:proofErr w:type="gramEnd"/>
    </w:p>
    <w:p w14:paraId="1E0ECCC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8D237B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9.3.</w:t>
      </w:r>
      <w:r w:rsidRPr="00983A96">
        <w:rPr>
          <w:rFonts w:ascii="Times New Roman" w:eastAsia="Calibri" w:hAnsi="Times New Roman" w:cs="Times New Roman"/>
          <w:kern w:val="0"/>
          <w:sz w:val="24"/>
          <w:szCs w:val="24"/>
          <w:lang w:val="en-US"/>
          <w14:ligatures w14:val="none"/>
        </w:rPr>
        <w:t xml:space="preserve"> add-ons for counterparty credit risk of securities financing transactions, including those that are off-balance sheet, calculated in accordance with Section </w:t>
      </w:r>
      <w:proofErr w:type="gramStart"/>
      <w:r w:rsidRPr="00983A96">
        <w:rPr>
          <w:rFonts w:ascii="Times New Roman" w:eastAsia="Calibri" w:hAnsi="Times New Roman" w:cs="Times New Roman"/>
          <w:kern w:val="0"/>
          <w:sz w:val="24"/>
          <w:szCs w:val="24"/>
          <w:lang w:val="en-US"/>
          <w14:ligatures w14:val="none"/>
        </w:rPr>
        <w:t>7;</w:t>
      </w:r>
      <w:proofErr w:type="gramEnd"/>
    </w:p>
    <w:p w14:paraId="73B16B3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86BB642" w14:textId="7311EB19"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9.4.</w:t>
      </w:r>
      <w:r w:rsidRPr="00983A96">
        <w:rPr>
          <w:rFonts w:ascii="Times New Roman" w:eastAsia="Calibri" w:hAnsi="Times New Roman" w:cs="Times New Roman"/>
          <w:kern w:val="0"/>
          <w:sz w:val="24"/>
          <w:szCs w:val="24"/>
          <w:lang w:val="en-US"/>
          <w14:ligatures w14:val="none"/>
        </w:rPr>
        <w:t xml:space="preserve"> off-balance sheet items, excluding derivative contracts listed in Annex No. 1 of Regulation No. 114/2018, credit derivative</w:t>
      </w:r>
      <w:r w:rsidR="0033028F"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securities financing transactions and positions referred to in Sections 6 and 9, calculated in accordance with Section </w:t>
      </w:r>
      <w:proofErr w:type="gramStart"/>
      <w:r w:rsidRPr="00983A96">
        <w:rPr>
          <w:rFonts w:ascii="Times New Roman" w:eastAsia="Calibri" w:hAnsi="Times New Roman" w:cs="Times New Roman"/>
          <w:kern w:val="0"/>
          <w:sz w:val="24"/>
          <w:szCs w:val="24"/>
          <w:lang w:val="en-US"/>
          <w14:ligatures w14:val="none"/>
        </w:rPr>
        <w:t>8;</w:t>
      </w:r>
      <w:proofErr w:type="gramEnd"/>
    </w:p>
    <w:p w14:paraId="573BFDA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37FF838"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9.5.</w:t>
      </w:r>
      <w:r w:rsidRPr="00983A96">
        <w:rPr>
          <w:rFonts w:ascii="Times New Roman" w:eastAsia="Calibri" w:hAnsi="Times New Roman" w:cs="Times New Roman"/>
          <w:kern w:val="0"/>
          <w:sz w:val="24"/>
          <w:szCs w:val="24"/>
          <w:lang w:val="en-US"/>
          <w14:ligatures w14:val="none"/>
        </w:rPr>
        <w:t xml:space="preserve"> regular-way purchases or sales awaiting settlement, calculated in accordance with Section 9.</w:t>
      </w:r>
    </w:p>
    <w:p w14:paraId="4F62476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85AD43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10.</w:t>
      </w:r>
      <w:r w:rsidRPr="00983A96">
        <w:rPr>
          <w:rFonts w:ascii="Times New Roman" w:eastAsia="Calibri" w:hAnsi="Times New Roman" w:cs="Times New Roman"/>
          <w:kern w:val="0"/>
          <w:sz w:val="24"/>
          <w:szCs w:val="24"/>
          <w:lang w:val="en-US"/>
          <w14:ligatures w14:val="none"/>
        </w:rPr>
        <w:t xml:space="preserve"> Banks shall treat long settlement transactions in accordance with subparagraphs 9.1–9.4, as applicable.</w:t>
      </w:r>
    </w:p>
    <w:p w14:paraId="1F8C6E5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970EA92" w14:textId="4FDFF5DA"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11.</w:t>
      </w:r>
      <w:r w:rsidRPr="00983A96">
        <w:rPr>
          <w:rFonts w:ascii="Times New Roman" w:eastAsia="Calibri" w:hAnsi="Times New Roman" w:cs="Times New Roman"/>
          <w:kern w:val="0"/>
          <w:sz w:val="24"/>
          <w:szCs w:val="24"/>
          <w:lang w:val="en-US"/>
          <w14:ligatures w14:val="none"/>
        </w:rPr>
        <w:t xml:space="preserve"> Banks may reduce the exposure values referred to in subparagraphs 9.1 and 9.4 by the corresponding amount of general credit risk adjustments related to on- and off-balance-sheet items, </w:t>
      </w:r>
      <w:r w:rsidR="002055AE" w:rsidRPr="00983A96">
        <w:rPr>
          <w:rFonts w:ascii="Times New Roman" w:eastAsia="Calibri" w:hAnsi="Times New Roman" w:cs="Times New Roman"/>
          <w:kern w:val="0"/>
          <w:sz w:val="24"/>
          <w:szCs w:val="24"/>
          <w:lang w:val="en-US"/>
          <w14:ligatures w14:val="none"/>
        </w:rPr>
        <w:t xml:space="preserve">respectively, </w:t>
      </w:r>
      <w:r w:rsidRPr="00983A96">
        <w:rPr>
          <w:rFonts w:ascii="Times New Roman" w:eastAsia="Calibri" w:hAnsi="Times New Roman" w:cs="Times New Roman"/>
          <w:kern w:val="0"/>
          <w:sz w:val="24"/>
          <w:szCs w:val="24"/>
          <w:lang w:val="en-US"/>
          <w14:ligatures w14:val="none"/>
        </w:rPr>
        <w:t>subject to a floor of 0 where the credit risk adjustments have reduced Tier 1 capital.</w:t>
      </w:r>
    </w:p>
    <w:p w14:paraId="2BE3D86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EF0C5F2"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12.</w:t>
      </w:r>
      <w:r w:rsidRPr="00983A96">
        <w:rPr>
          <w:rFonts w:ascii="Times New Roman" w:eastAsia="Calibri" w:hAnsi="Times New Roman" w:cs="Times New Roman"/>
          <w:kern w:val="0"/>
          <w:sz w:val="24"/>
          <w:szCs w:val="24"/>
          <w:lang w:val="en-US"/>
          <w14:ligatures w14:val="none"/>
        </w:rPr>
        <w:t xml:space="preserve"> By way of derogation from subparagraph 9.4, the following provisions shall apply:</w:t>
      </w:r>
    </w:p>
    <w:p w14:paraId="55E6C46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109AE6A" w14:textId="3F9A964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12.1.</w:t>
      </w:r>
      <w:r w:rsidRPr="00983A96">
        <w:rPr>
          <w:rFonts w:ascii="Times New Roman" w:eastAsia="Calibri" w:hAnsi="Times New Roman" w:cs="Times New Roman"/>
          <w:kern w:val="0"/>
          <w:sz w:val="24"/>
          <w:szCs w:val="24"/>
          <w:lang w:val="en-US"/>
          <w14:ligatures w14:val="none"/>
        </w:rPr>
        <w:t xml:space="preserve"> an off-balance sheet item </w:t>
      </w:r>
      <w:r w:rsidR="002055AE" w:rsidRPr="00983A96">
        <w:rPr>
          <w:rFonts w:ascii="Times New Roman" w:eastAsia="Calibri" w:hAnsi="Times New Roman" w:cs="Times New Roman"/>
          <w:kern w:val="0"/>
          <w:sz w:val="24"/>
          <w:szCs w:val="24"/>
          <w:lang w:val="en-US"/>
          <w14:ligatures w14:val="none"/>
        </w:rPr>
        <w:t xml:space="preserve">in accordance with </w:t>
      </w:r>
      <w:r w:rsidRPr="00983A96">
        <w:rPr>
          <w:rFonts w:ascii="Times New Roman" w:eastAsia="Calibri" w:hAnsi="Times New Roman" w:cs="Times New Roman"/>
          <w:kern w:val="0"/>
          <w:sz w:val="24"/>
          <w:szCs w:val="24"/>
          <w:lang w:val="en-US"/>
          <w14:ligatures w14:val="none"/>
        </w:rPr>
        <w:t xml:space="preserve">subparagraph 9.4 that is treated as a derivative in accordance with the applicable accounting framework shall be subject to the treatment set out in subparagraph </w:t>
      </w:r>
      <w:proofErr w:type="gramStart"/>
      <w:r w:rsidRPr="00983A96">
        <w:rPr>
          <w:rFonts w:ascii="Times New Roman" w:eastAsia="Calibri" w:hAnsi="Times New Roman" w:cs="Times New Roman"/>
          <w:kern w:val="0"/>
          <w:sz w:val="24"/>
          <w:szCs w:val="24"/>
          <w:lang w:val="en-US"/>
          <w14:ligatures w14:val="none"/>
        </w:rPr>
        <w:t>9.2;</w:t>
      </w:r>
      <w:proofErr w:type="gramEnd"/>
    </w:p>
    <w:p w14:paraId="3B74C9D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A6EF7F9" w14:textId="2883308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12.2.</w:t>
      </w:r>
      <w:r w:rsidRPr="00983A96">
        <w:rPr>
          <w:rFonts w:ascii="Times New Roman" w:eastAsia="Calibri" w:hAnsi="Times New Roman" w:cs="Times New Roman"/>
          <w:kern w:val="0"/>
          <w:sz w:val="24"/>
          <w:szCs w:val="24"/>
          <w:lang w:val="en-US"/>
          <w14:ligatures w14:val="none"/>
        </w:rPr>
        <w:t xml:space="preserve"> where a client of a bank acting as a clearing member enters directly into a derivative transaction with a central counterparty (hereinafter – CCP), and the bank guarantees the performance of the client’s trade exposure to the CCP ar</w:t>
      </w:r>
      <w:r w:rsidR="002055AE" w:rsidRPr="00983A96">
        <w:rPr>
          <w:rFonts w:ascii="Times New Roman" w:eastAsia="Calibri" w:hAnsi="Times New Roman" w:cs="Times New Roman"/>
          <w:kern w:val="0"/>
          <w:sz w:val="24"/>
          <w:szCs w:val="24"/>
          <w:lang w:val="en-US"/>
          <w14:ligatures w14:val="none"/>
        </w:rPr>
        <w:t>i</w:t>
      </w:r>
      <w:r w:rsidRPr="00983A96">
        <w:rPr>
          <w:rFonts w:ascii="Times New Roman" w:eastAsia="Calibri" w:hAnsi="Times New Roman" w:cs="Times New Roman"/>
          <w:kern w:val="0"/>
          <w:sz w:val="24"/>
          <w:szCs w:val="24"/>
          <w:lang w:val="en-US"/>
          <w14:ligatures w14:val="none"/>
        </w:rPr>
        <w:t>sing from that transaction, the bank shall calculate its exposure resulting from the guarantee in accordance with subparagraph 9.2 as if that bank had entered directly into the transaction with the client, including with regard to the receipt or provision of cash variation margin.</w:t>
      </w:r>
    </w:p>
    <w:p w14:paraId="5E2BC2E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FE101A4" w14:textId="4BE88620"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13.</w:t>
      </w:r>
      <w:r w:rsidRPr="00983A96">
        <w:rPr>
          <w:rFonts w:ascii="Times New Roman" w:eastAsia="Calibri" w:hAnsi="Times New Roman" w:cs="Times New Roman"/>
          <w:kern w:val="0"/>
          <w:sz w:val="24"/>
          <w:szCs w:val="24"/>
          <w:lang w:val="en-US"/>
          <w14:ligatures w14:val="none"/>
        </w:rPr>
        <w:t xml:space="preserve"> The treatment set out in subparagraph 12.2 shall also apply to a bank acting as a higher-level client that guarantees the performance of its client’s trade exposure.</w:t>
      </w:r>
    </w:p>
    <w:p w14:paraId="0608D5BC" w14:textId="77777777" w:rsidR="00CC0A57" w:rsidRPr="00983A96" w:rsidRDefault="00CC0A57" w:rsidP="00CC0A57">
      <w:pPr>
        <w:spacing w:after="0" w:line="240" w:lineRule="auto"/>
        <w:jc w:val="both"/>
        <w:rPr>
          <w:rFonts w:ascii="Times New Roman" w:eastAsia="Calibri" w:hAnsi="Times New Roman" w:cs="Times New Roman"/>
          <w:b/>
          <w:bCs/>
          <w:kern w:val="0"/>
          <w:sz w:val="24"/>
          <w:szCs w:val="24"/>
          <w:lang w:val="en-US"/>
          <w14:ligatures w14:val="none"/>
        </w:rPr>
      </w:pPr>
    </w:p>
    <w:p w14:paraId="1BFC4904"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14.</w:t>
      </w:r>
      <w:r w:rsidRPr="00983A96">
        <w:rPr>
          <w:rFonts w:ascii="Times New Roman" w:eastAsia="Calibri" w:hAnsi="Times New Roman" w:cs="Times New Roman"/>
          <w:kern w:val="0"/>
          <w:sz w:val="24"/>
          <w:szCs w:val="24"/>
          <w:lang w:val="en-US"/>
          <w14:ligatures w14:val="none"/>
        </w:rPr>
        <w:t xml:space="preserve"> For the purposes of subparagraph 12.2 and paragraph 13, banks may consider an affiliated entity as a client only where that entity is outside of regulatory scope of consolidation at the level at which the requirement set out in paragraph 132 subparagraph 5) of the Regulation on banks’ own funds and capital requirements, approved by Decision of the Executive Board of the NBM No. 109/2018 (hereinafter – Regulation No. 109/2018) is applied.</w:t>
      </w:r>
    </w:p>
    <w:p w14:paraId="3889EF6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EB1164F" w14:textId="43845A9F"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15.</w:t>
      </w:r>
      <w:r w:rsidRPr="00983A96">
        <w:rPr>
          <w:rFonts w:ascii="Times New Roman" w:eastAsia="Calibri" w:hAnsi="Times New Roman" w:cs="Times New Roman"/>
          <w:kern w:val="0"/>
          <w:sz w:val="24"/>
          <w:szCs w:val="24"/>
          <w:lang w:val="en-US"/>
          <w14:ligatures w14:val="none"/>
        </w:rPr>
        <w:t xml:space="preserve"> For the purposes of subparagraph 9.5 and Section 9</w:t>
      </w:r>
      <w:proofErr w:type="gramStart"/>
      <w:r w:rsidRPr="00983A96">
        <w:rPr>
          <w:rFonts w:ascii="Times New Roman" w:eastAsia="Calibri" w:hAnsi="Times New Roman" w:cs="Times New Roman"/>
          <w:kern w:val="0"/>
          <w:sz w:val="24"/>
          <w:szCs w:val="24"/>
          <w:lang w:val="en-US"/>
          <w14:ligatures w14:val="none"/>
        </w:rPr>
        <w:t>, ”regular</w:t>
      </w:r>
      <w:proofErr w:type="gramEnd"/>
      <w:r w:rsidRPr="00983A96">
        <w:rPr>
          <w:rFonts w:ascii="Times New Roman" w:eastAsia="Calibri" w:hAnsi="Times New Roman" w:cs="Times New Roman"/>
          <w:kern w:val="0"/>
          <w:sz w:val="24"/>
          <w:szCs w:val="24"/>
          <w:lang w:val="en-US"/>
          <w14:ligatures w14:val="none"/>
        </w:rPr>
        <w:t xml:space="preserve">-way purchase or sale” means a purchase or sale of a </w:t>
      </w:r>
      <w:r w:rsidR="0004645E" w:rsidRPr="00983A96">
        <w:rPr>
          <w:rFonts w:ascii="Times New Roman" w:eastAsia="Calibri" w:hAnsi="Times New Roman" w:cs="Times New Roman"/>
          <w:kern w:val="0"/>
          <w:sz w:val="24"/>
          <w:szCs w:val="24"/>
          <w:lang w:val="en-US"/>
          <w14:ligatures w14:val="none"/>
        </w:rPr>
        <w:t xml:space="preserve">financial asset </w:t>
      </w:r>
      <w:r w:rsidRPr="00983A96">
        <w:rPr>
          <w:rFonts w:ascii="Times New Roman" w:eastAsia="Calibri" w:hAnsi="Times New Roman" w:cs="Times New Roman"/>
          <w:kern w:val="0"/>
          <w:sz w:val="24"/>
          <w:szCs w:val="24"/>
          <w:lang w:val="en-US"/>
          <w14:ligatures w14:val="none"/>
        </w:rPr>
        <w:t xml:space="preserve">under contracts for which the terms require delivery of the </w:t>
      </w:r>
      <w:r w:rsidR="0004645E" w:rsidRPr="00983A96">
        <w:rPr>
          <w:rFonts w:ascii="Times New Roman" w:eastAsia="Calibri" w:hAnsi="Times New Roman" w:cs="Times New Roman"/>
          <w:kern w:val="0"/>
          <w:sz w:val="24"/>
          <w:szCs w:val="24"/>
          <w:lang w:val="en-US"/>
          <w14:ligatures w14:val="none"/>
        </w:rPr>
        <w:t xml:space="preserve">financial asset </w:t>
      </w:r>
      <w:r w:rsidRPr="00983A96">
        <w:rPr>
          <w:rFonts w:ascii="Times New Roman" w:eastAsia="Calibri" w:hAnsi="Times New Roman" w:cs="Times New Roman"/>
          <w:kern w:val="0"/>
          <w:sz w:val="24"/>
          <w:szCs w:val="24"/>
          <w:lang w:val="en-US"/>
          <w14:ligatures w14:val="none"/>
        </w:rPr>
        <w:t xml:space="preserve">within the time period established generally by </w:t>
      </w:r>
      <w:r w:rsidR="0004645E" w:rsidRPr="00983A96">
        <w:rPr>
          <w:rFonts w:ascii="Times New Roman" w:eastAsia="Calibri" w:hAnsi="Times New Roman" w:cs="Times New Roman"/>
          <w:kern w:val="0"/>
          <w:sz w:val="24"/>
          <w:szCs w:val="24"/>
          <w:lang w:val="en-US"/>
          <w14:ligatures w14:val="none"/>
        </w:rPr>
        <w:t xml:space="preserve">law </w:t>
      </w:r>
      <w:r w:rsidRPr="00983A96">
        <w:rPr>
          <w:rFonts w:ascii="Times New Roman" w:eastAsia="Calibri" w:hAnsi="Times New Roman" w:cs="Times New Roman"/>
          <w:kern w:val="0"/>
          <w:sz w:val="24"/>
          <w:szCs w:val="24"/>
          <w:lang w:val="en-US"/>
          <w14:ligatures w14:val="none"/>
        </w:rPr>
        <w:t>or convention in the marketplace concerned.</w:t>
      </w:r>
    </w:p>
    <w:p w14:paraId="0AB1A5C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C3164E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16.</w:t>
      </w:r>
      <w:r w:rsidRPr="00983A96">
        <w:rPr>
          <w:rFonts w:ascii="Times New Roman" w:eastAsia="Calibri" w:hAnsi="Times New Roman" w:cs="Times New Roman"/>
          <w:kern w:val="0"/>
          <w:sz w:val="24"/>
          <w:szCs w:val="24"/>
          <w:lang w:val="en-US"/>
          <w14:ligatures w14:val="none"/>
        </w:rPr>
        <w:t xml:space="preserve"> Unless otherwise expressly provided for in this Regulation, banks shall calculate the total exposure measure in accordance with the following principles:</w:t>
      </w:r>
    </w:p>
    <w:p w14:paraId="6DFA140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DDECC93" w14:textId="47955855"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16.1.</w:t>
      </w:r>
      <w:r w:rsidRPr="00983A96">
        <w:rPr>
          <w:rFonts w:ascii="Times New Roman" w:eastAsia="Calibri" w:hAnsi="Times New Roman" w:cs="Times New Roman"/>
          <w:kern w:val="0"/>
          <w:sz w:val="24"/>
          <w:szCs w:val="24"/>
          <w:lang w:val="en-US"/>
          <w14:ligatures w14:val="none"/>
        </w:rPr>
        <w:t xml:space="preserve"> </w:t>
      </w:r>
      <w:r w:rsidR="00CD62DE" w:rsidRPr="00983A96">
        <w:rPr>
          <w:rFonts w:ascii="Times New Roman" w:eastAsia="Calibri" w:hAnsi="Times New Roman" w:cs="Times New Roman"/>
          <w:kern w:val="0"/>
          <w:sz w:val="24"/>
          <w:szCs w:val="24"/>
          <w:lang w:val="en-US"/>
          <w14:ligatures w14:val="none"/>
        </w:rPr>
        <w:t xml:space="preserve">physical or financial collateral, guarantees </w:t>
      </w:r>
      <w:r w:rsidRPr="00983A96">
        <w:rPr>
          <w:rFonts w:ascii="Times New Roman" w:eastAsia="Calibri" w:hAnsi="Times New Roman" w:cs="Times New Roman"/>
          <w:kern w:val="0"/>
          <w:sz w:val="24"/>
          <w:szCs w:val="24"/>
          <w:lang w:val="en-US"/>
          <w14:ligatures w14:val="none"/>
        </w:rPr>
        <w:t xml:space="preserve">or credit risk mitigation purchased shall not be used to reduce the total exposure </w:t>
      </w:r>
      <w:proofErr w:type="gramStart"/>
      <w:r w:rsidRPr="00983A96">
        <w:rPr>
          <w:rFonts w:ascii="Times New Roman" w:eastAsia="Calibri" w:hAnsi="Times New Roman" w:cs="Times New Roman"/>
          <w:kern w:val="0"/>
          <w:sz w:val="24"/>
          <w:szCs w:val="24"/>
          <w:lang w:val="en-US"/>
          <w14:ligatures w14:val="none"/>
        </w:rPr>
        <w:t>measure;</w:t>
      </w:r>
      <w:proofErr w:type="gramEnd"/>
    </w:p>
    <w:p w14:paraId="575AE54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51A2E94"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16.2.</w:t>
      </w:r>
      <w:r w:rsidRPr="00983A96">
        <w:rPr>
          <w:rFonts w:ascii="Times New Roman" w:eastAsia="Calibri" w:hAnsi="Times New Roman" w:cs="Times New Roman"/>
          <w:kern w:val="0"/>
          <w:sz w:val="24"/>
          <w:szCs w:val="24"/>
          <w:lang w:val="en-US"/>
          <w14:ligatures w14:val="none"/>
        </w:rPr>
        <w:t xml:space="preserve"> assets shall not be netted with liabilities.</w:t>
      </w:r>
    </w:p>
    <w:p w14:paraId="6879CB8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3825CEE"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17.</w:t>
      </w:r>
      <w:r w:rsidRPr="00983A96">
        <w:rPr>
          <w:rFonts w:ascii="Times New Roman" w:eastAsia="Calibri" w:hAnsi="Times New Roman" w:cs="Times New Roman"/>
          <w:kern w:val="0"/>
          <w:sz w:val="24"/>
          <w:szCs w:val="24"/>
          <w:lang w:val="en-US"/>
          <w14:ligatures w14:val="none"/>
        </w:rPr>
        <w:t xml:space="preserve"> By way of derogation from subparagraph 16.2, banks may reduce the exposure value of a pre-financing loan or an intermediate loan by the positive balance on the savings account of the debtor to which the loan was granted and only include the resulting amount in the total exposure measure, provided thar all the following conditions are met:</w:t>
      </w:r>
    </w:p>
    <w:p w14:paraId="5B33CA3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CE24D5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17.1.</w:t>
      </w:r>
      <w:r w:rsidRPr="00983A96">
        <w:rPr>
          <w:rFonts w:ascii="Times New Roman" w:eastAsia="Calibri" w:hAnsi="Times New Roman" w:cs="Times New Roman"/>
          <w:kern w:val="0"/>
          <w:sz w:val="24"/>
          <w:szCs w:val="24"/>
          <w:lang w:val="en-US"/>
          <w14:ligatures w14:val="none"/>
        </w:rPr>
        <w:t xml:space="preserve"> the granting of the loan is conditional upon the opening of a savings account at the bank granting the loan and both the loan and the savings account are regulated by the same sectoral </w:t>
      </w:r>
      <w:proofErr w:type="gramStart"/>
      <w:r w:rsidRPr="00983A96">
        <w:rPr>
          <w:rFonts w:ascii="Times New Roman" w:eastAsia="Calibri" w:hAnsi="Times New Roman" w:cs="Times New Roman"/>
          <w:kern w:val="0"/>
          <w:sz w:val="24"/>
          <w:szCs w:val="24"/>
          <w:lang w:val="en-US"/>
          <w14:ligatures w14:val="none"/>
        </w:rPr>
        <w:t>law;</w:t>
      </w:r>
      <w:proofErr w:type="gramEnd"/>
    </w:p>
    <w:p w14:paraId="40BDF1E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1F4EE2C"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17.2.</w:t>
      </w:r>
      <w:r w:rsidRPr="00983A96">
        <w:rPr>
          <w:rFonts w:ascii="Times New Roman" w:eastAsia="Calibri" w:hAnsi="Times New Roman" w:cs="Times New Roman"/>
          <w:kern w:val="0"/>
          <w:sz w:val="24"/>
          <w:szCs w:val="24"/>
          <w:lang w:val="en-US"/>
          <w14:ligatures w14:val="none"/>
        </w:rPr>
        <w:t xml:space="preserve"> the balance of the savings account cannot be withdrawn, in part or in full, by the debtor for the entire duration of the </w:t>
      </w:r>
      <w:proofErr w:type="gramStart"/>
      <w:r w:rsidRPr="00983A96">
        <w:rPr>
          <w:rFonts w:ascii="Times New Roman" w:eastAsia="Calibri" w:hAnsi="Times New Roman" w:cs="Times New Roman"/>
          <w:kern w:val="0"/>
          <w:sz w:val="24"/>
          <w:szCs w:val="24"/>
          <w:lang w:val="en-US"/>
          <w14:ligatures w14:val="none"/>
        </w:rPr>
        <w:t>loan;</w:t>
      </w:r>
      <w:proofErr w:type="gramEnd"/>
    </w:p>
    <w:p w14:paraId="3C61F8F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5999DB6" w14:textId="5EE92F6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17.3.</w:t>
      </w:r>
      <w:r w:rsidRPr="00983A96">
        <w:rPr>
          <w:rFonts w:ascii="Times New Roman" w:eastAsia="Calibri" w:hAnsi="Times New Roman" w:cs="Times New Roman"/>
          <w:kern w:val="0"/>
          <w:sz w:val="24"/>
          <w:szCs w:val="24"/>
          <w:lang w:val="en-US"/>
          <w14:ligatures w14:val="none"/>
        </w:rPr>
        <w:t xml:space="preserve"> the bank </w:t>
      </w:r>
      <w:r w:rsidR="004C7A9D" w:rsidRPr="00983A96">
        <w:rPr>
          <w:rFonts w:ascii="Times New Roman" w:eastAsia="Calibri" w:hAnsi="Times New Roman" w:cs="Times New Roman"/>
          <w:kern w:val="0"/>
          <w:sz w:val="24"/>
          <w:szCs w:val="24"/>
          <w:lang w:val="en-US"/>
          <w14:ligatures w14:val="none"/>
        </w:rPr>
        <w:t xml:space="preserve">can </w:t>
      </w:r>
      <w:r w:rsidRPr="00983A96">
        <w:rPr>
          <w:rFonts w:ascii="Times New Roman" w:eastAsia="Calibri" w:hAnsi="Times New Roman" w:cs="Times New Roman"/>
          <w:kern w:val="0"/>
          <w:sz w:val="24"/>
          <w:szCs w:val="24"/>
          <w:lang w:val="en-US"/>
          <w14:ligatures w14:val="none"/>
        </w:rPr>
        <w:t xml:space="preserve">unconditionally and irrevocably use the balance on the savings account to settle any claim originating under the loan agreement in cases regulated by </w:t>
      </w:r>
      <w:r w:rsidR="004C7A9D" w:rsidRPr="00983A96">
        <w:rPr>
          <w:rFonts w:ascii="Times New Roman" w:eastAsia="Calibri" w:hAnsi="Times New Roman" w:cs="Times New Roman"/>
          <w:kern w:val="0"/>
          <w:sz w:val="24"/>
          <w:szCs w:val="24"/>
          <w:lang w:val="en-US"/>
          <w14:ligatures w14:val="none"/>
        </w:rPr>
        <w:t xml:space="preserve">the </w:t>
      </w:r>
      <w:r w:rsidRPr="00983A96">
        <w:rPr>
          <w:rFonts w:ascii="Times New Roman" w:eastAsia="Calibri" w:hAnsi="Times New Roman" w:cs="Times New Roman"/>
          <w:kern w:val="0"/>
          <w:sz w:val="24"/>
          <w:szCs w:val="24"/>
          <w:lang w:val="en-US"/>
          <w14:ligatures w14:val="none"/>
        </w:rPr>
        <w:t>sectoral law referred to in subparagraph 17.1, including in the case of non-payment by or the insolvency of the debtor.</w:t>
      </w:r>
    </w:p>
    <w:p w14:paraId="4144118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B605927" w14:textId="50758FE0"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18.</w:t>
      </w:r>
      <w:r w:rsidRPr="00983A96">
        <w:rPr>
          <w:rFonts w:ascii="Times New Roman" w:eastAsia="Calibri" w:hAnsi="Times New Roman" w:cs="Times New Roman"/>
          <w:kern w:val="0"/>
          <w:sz w:val="24"/>
          <w:szCs w:val="24"/>
          <w:lang w:val="en-US"/>
          <w14:ligatures w14:val="none"/>
        </w:rPr>
        <w:t xml:space="preserve"> For the purposes of paragraph 17</w:t>
      </w:r>
      <w:proofErr w:type="gramStart"/>
      <w:r w:rsidRPr="00983A96">
        <w:rPr>
          <w:rFonts w:ascii="Times New Roman" w:eastAsia="Calibri" w:hAnsi="Times New Roman" w:cs="Times New Roman"/>
          <w:kern w:val="0"/>
          <w:sz w:val="24"/>
          <w:szCs w:val="24"/>
          <w:lang w:val="en-US"/>
          <w14:ligatures w14:val="none"/>
        </w:rPr>
        <w:t>, ”pre</w:t>
      </w:r>
      <w:proofErr w:type="gramEnd"/>
      <w:r w:rsidRPr="00983A96">
        <w:rPr>
          <w:rFonts w:ascii="Times New Roman" w:eastAsia="Calibri" w:hAnsi="Times New Roman" w:cs="Times New Roman"/>
          <w:kern w:val="0"/>
          <w:sz w:val="24"/>
          <w:szCs w:val="24"/>
          <w:lang w:val="en-US"/>
          <w14:ligatures w14:val="none"/>
        </w:rPr>
        <w:t>-financing loan” or</w:t>
      </w:r>
      <w:r w:rsidR="00983A96"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 xml:space="preserve">”intermediary loan” means a loan that is granted to the borrower for a limited period of time in order to </w:t>
      </w:r>
      <w:r w:rsidR="004C7A9D" w:rsidRPr="00983A96">
        <w:rPr>
          <w:rFonts w:ascii="Times New Roman" w:eastAsia="Calibri" w:hAnsi="Times New Roman" w:cs="Times New Roman"/>
          <w:kern w:val="0"/>
          <w:sz w:val="24"/>
          <w:szCs w:val="24"/>
          <w:lang w:val="en-US"/>
          <w14:ligatures w14:val="none"/>
        </w:rPr>
        <w:t xml:space="preserve">bridge the </w:t>
      </w:r>
      <w:r w:rsidRPr="00983A96">
        <w:rPr>
          <w:rFonts w:ascii="Times New Roman" w:eastAsia="Calibri" w:hAnsi="Times New Roman" w:cs="Times New Roman"/>
          <w:kern w:val="0"/>
          <w:sz w:val="24"/>
          <w:szCs w:val="24"/>
          <w:lang w:val="en-US"/>
          <w14:ligatures w14:val="none"/>
        </w:rPr>
        <w:t>borrower’s financing gaps until the final loan is granted in accordance with the criteria laid down in the sectoral law regulating such transactions.</w:t>
      </w:r>
    </w:p>
    <w:p w14:paraId="6A491E7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22260EC"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Section 3 – Exposures excluded from the total exposure </w:t>
      </w:r>
      <w:proofErr w:type="gramStart"/>
      <w:r w:rsidRPr="00983A96">
        <w:rPr>
          <w:rFonts w:ascii="Times New Roman" w:eastAsia="Calibri" w:hAnsi="Times New Roman" w:cs="Times New Roman"/>
          <w:b/>
          <w:bCs/>
          <w:kern w:val="0"/>
          <w:sz w:val="24"/>
          <w:szCs w:val="24"/>
          <w:lang w:val="en-US"/>
          <w14:ligatures w14:val="none"/>
        </w:rPr>
        <w:t>measure</w:t>
      </w:r>
      <w:proofErr w:type="gramEnd"/>
    </w:p>
    <w:p w14:paraId="4BECFF3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E07FE1B"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w:t>
      </w:r>
      <w:r w:rsidRPr="00983A96">
        <w:rPr>
          <w:rFonts w:ascii="Times New Roman" w:eastAsia="Calibri" w:hAnsi="Times New Roman" w:cs="Times New Roman"/>
          <w:kern w:val="0"/>
          <w:sz w:val="24"/>
          <w:szCs w:val="24"/>
          <w:lang w:val="en-US"/>
          <w14:ligatures w14:val="none"/>
        </w:rPr>
        <w:t xml:space="preserve"> By way of derogation from paragraphs 9–11, a bank may exclude any of the following exposures from its total exposure measure:</w:t>
      </w:r>
    </w:p>
    <w:p w14:paraId="73AC27D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E80B793"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19.1.</w:t>
      </w:r>
      <w:r w:rsidRPr="00983A96">
        <w:rPr>
          <w:rFonts w:ascii="Times New Roman" w:eastAsia="Calibri" w:hAnsi="Times New Roman" w:cs="Times New Roman"/>
          <w:kern w:val="0"/>
          <w:sz w:val="24"/>
          <w:szCs w:val="24"/>
          <w:lang w:val="en-US"/>
          <w14:ligatures w14:val="none"/>
        </w:rPr>
        <w:t xml:space="preserve"> the assets deducted in the calculation of the capital measure referred to in paragraph </w:t>
      </w:r>
      <w:proofErr w:type="gramStart"/>
      <w:r w:rsidRPr="00983A96">
        <w:rPr>
          <w:rFonts w:ascii="Times New Roman" w:eastAsia="Calibri" w:hAnsi="Times New Roman" w:cs="Times New Roman"/>
          <w:kern w:val="0"/>
          <w:sz w:val="24"/>
          <w:szCs w:val="24"/>
          <w:lang w:val="en-US"/>
          <w14:ligatures w14:val="none"/>
        </w:rPr>
        <w:t>8;</w:t>
      </w:r>
      <w:proofErr w:type="gramEnd"/>
    </w:p>
    <w:p w14:paraId="1B0F47D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444AB5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19.2.</w:t>
      </w:r>
      <w:r w:rsidRPr="00983A96">
        <w:rPr>
          <w:rFonts w:ascii="Times New Roman" w:eastAsia="Calibri" w:hAnsi="Times New Roman" w:cs="Times New Roman"/>
          <w:kern w:val="0"/>
          <w:sz w:val="24"/>
          <w:szCs w:val="24"/>
          <w:lang w:val="en-US"/>
          <w14:ligatures w14:val="none"/>
        </w:rPr>
        <w:t xml:space="preserve"> exposures that are assigned a risk weight of 0% in accordance with paragraphs 19–21 of the Regulation on the treatment of credit risk for banks under the standardized approach, </w:t>
      </w:r>
      <w:bookmarkStart w:id="1" w:name="_Hlk223333487"/>
      <w:r w:rsidRPr="00983A96">
        <w:rPr>
          <w:rFonts w:ascii="Times New Roman" w:eastAsia="Calibri" w:hAnsi="Times New Roman" w:cs="Times New Roman"/>
          <w:kern w:val="0"/>
          <w:sz w:val="24"/>
          <w:szCs w:val="24"/>
          <w:lang w:val="en-US"/>
          <w14:ligatures w14:val="none"/>
        </w:rPr>
        <w:t>approved by Decision of the Executive Board of the NBM No. 111/2018 (hereinafter – Regulation No. 111/2018</w:t>
      </w:r>
      <w:proofErr w:type="gramStart"/>
      <w:r w:rsidRPr="00983A96">
        <w:rPr>
          <w:rFonts w:ascii="Times New Roman" w:eastAsia="Calibri" w:hAnsi="Times New Roman" w:cs="Times New Roman"/>
          <w:kern w:val="0"/>
          <w:sz w:val="24"/>
          <w:szCs w:val="24"/>
          <w:lang w:val="en-US"/>
          <w14:ligatures w14:val="none"/>
        </w:rPr>
        <w:t>)</w:t>
      </w:r>
      <w:bookmarkEnd w:id="1"/>
      <w:r w:rsidRPr="00983A96">
        <w:rPr>
          <w:rFonts w:ascii="Times New Roman" w:eastAsia="Calibri" w:hAnsi="Times New Roman" w:cs="Times New Roman"/>
          <w:kern w:val="0"/>
          <w:sz w:val="24"/>
          <w:szCs w:val="24"/>
          <w:lang w:val="en-US"/>
          <w14:ligatures w14:val="none"/>
        </w:rPr>
        <w:t>;</w:t>
      </w:r>
      <w:proofErr w:type="gramEnd"/>
    </w:p>
    <w:p w14:paraId="496F3D4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B8F41A9"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19.3.</w:t>
      </w:r>
      <w:r w:rsidRPr="00983A96">
        <w:rPr>
          <w:rFonts w:ascii="Times New Roman" w:eastAsia="Calibri" w:hAnsi="Times New Roman" w:cs="Times New Roman"/>
          <w:kern w:val="0"/>
          <w:sz w:val="24"/>
          <w:szCs w:val="24"/>
          <w:lang w:val="en-US"/>
          <w14:ligatures w14:val="none"/>
        </w:rPr>
        <w:t xml:space="preserve"> the guaranteed parts of exposures arising from export credits that meet both the following two conditions:</w:t>
      </w:r>
    </w:p>
    <w:p w14:paraId="51D6BAF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5CECBDA" w14:textId="2305C03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19.3.1.</w:t>
      </w:r>
      <w:r w:rsidRPr="00983A96">
        <w:rPr>
          <w:rFonts w:ascii="Times New Roman" w:eastAsia="Calibri" w:hAnsi="Times New Roman" w:cs="Times New Roman"/>
          <w:kern w:val="0"/>
          <w:sz w:val="24"/>
          <w:szCs w:val="24"/>
          <w:lang w:val="en-US"/>
          <w14:ligatures w14:val="none"/>
        </w:rPr>
        <w:t xml:space="preserve"> the guarantee is provided by an eligible provider of unfunded credit protection in accordance with paragraph 36 of the Regulation on credit risk mitigation techniques of banks, approved by Decision of the Executive Board of the NBM No. 112/2018 (hereinafter – Regulation No. 112/2018), including </w:t>
      </w:r>
      <w:r w:rsidR="00AA1A36" w:rsidRPr="00983A96">
        <w:rPr>
          <w:rFonts w:ascii="Times New Roman" w:eastAsia="Calibri" w:hAnsi="Times New Roman" w:cs="Times New Roman"/>
          <w:kern w:val="0"/>
          <w:sz w:val="24"/>
          <w:szCs w:val="24"/>
          <w:lang w:val="en-US"/>
          <w14:ligatures w14:val="none"/>
        </w:rPr>
        <w:t xml:space="preserve">by </w:t>
      </w:r>
      <w:r w:rsidRPr="00983A96">
        <w:rPr>
          <w:rFonts w:ascii="Times New Roman" w:eastAsia="Calibri" w:hAnsi="Times New Roman" w:cs="Times New Roman"/>
          <w:kern w:val="0"/>
          <w:sz w:val="24"/>
          <w:szCs w:val="24"/>
          <w:lang w:val="en-US"/>
          <w14:ligatures w14:val="none"/>
        </w:rPr>
        <w:t xml:space="preserve">central governments and export credit </w:t>
      </w:r>
      <w:proofErr w:type="gramStart"/>
      <w:r w:rsidRPr="00983A96">
        <w:rPr>
          <w:rFonts w:ascii="Times New Roman" w:eastAsia="Calibri" w:hAnsi="Times New Roman" w:cs="Times New Roman"/>
          <w:kern w:val="0"/>
          <w:sz w:val="24"/>
          <w:szCs w:val="24"/>
          <w:lang w:val="en-US"/>
          <w14:ligatures w14:val="none"/>
        </w:rPr>
        <w:t>agencies;</w:t>
      </w:r>
      <w:proofErr w:type="gramEnd"/>
    </w:p>
    <w:p w14:paraId="596F404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C022569" w14:textId="57C1057F"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19.3.2. </w:t>
      </w:r>
      <w:r w:rsidRPr="00983A96">
        <w:rPr>
          <w:rFonts w:ascii="Times New Roman" w:eastAsia="Calibri" w:hAnsi="Times New Roman" w:cs="Times New Roman"/>
          <w:kern w:val="0"/>
          <w:sz w:val="24"/>
          <w:szCs w:val="24"/>
          <w:lang w:val="en-US"/>
          <w14:ligatures w14:val="none"/>
        </w:rPr>
        <w:t>a 0% risk weight applie</w:t>
      </w:r>
      <w:r w:rsidR="00AA1A36"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to the guaranteed part of the exposure in accordance with Section 1 or Section 3 of Chapter IV of Regulation No. </w:t>
      </w:r>
      <w:proofErr w:type="gramStart"/>
      <w:r w:rsidRPr="00983A96">
        <w:rPr>
          <w:rFonts w:ascii="Times New Roman" w:eastAsia="Calibri" w:hAnsi="Times New Roman" w:cs="Times New Roman"/>
          <w:kern w:val="0"/>
          <w:sz w:val="24"/>
          <w:szCs w:val="24"/>
          <w:lang w:val="en-US"/>
          <w14:ligatures w14:val="none"/>
        </w:rPr>
        <w:t>111/2018;</w:t>
      </w:r>
      <w:proofErr w:type="gramEnd"/>
    </w:p>
    <w:p w14:paraId="1961EE6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D03EDA3" w14:textId="55A6F8C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19.4.</w:t>
      </w:r>
      <w:r w:rsidRPr="00983A96">
        <w:rPr>
          <w:rFonts w:ascii="Times New Roman" w:eastAsia="Calibri" w:hAnsi="Times New Roman" w:cs="Times New Roman"/>
          <w:kern w:val="0"/>
          <w:sz w:val="24"/>
          <w:szCs w:val="24"/>
          <w:lang w:val="en-US"/>
          <w14:ligatures w14:val="none"/>
        </w:rPr>
        <w:t xml:space="preserve"> where the bank is a clearing member of a qualifying central counterparty (QCCP), the trade exposures of that bank, provided that they are cleared with </w:t>
      </w:r>
      <w:r w:rsidR="0000260A" w:rsidRPr="00983A96">
        <w:rPr>
          <w:rFonts w:ascii="Times New Roman" w:eastAsia="Calibri" w:hAnsi="Times New Roman" w:cs="Times New Roman"/>
          <w:kern w:val="0"/>
          <w:sz w:val="24"/>
          <w:szCs w:val="24"/>
          <w:lang w:val="en-US"/>
          <w14:ligatures w14:val="none"/>
        </w:rPr>
        <w:t>that</w:t>
      </w:r>
      <w:r w:rsidRPr="00983A96">
        <w:rPr>
          <w:rFonts w:ascii="Times New Roman" w:eastAsia="Calibri" w:hAnsi="Times New Roman" w:cs="Times New Roman"/>
          <w:kern w:val="0"/>
          <w:sz w:val="24"/>
          <w:szCs w:val="24"/>
          <w:lang w:val="en-US"/>
          <w14:ligatures w14:val="none"/>
        </w:rPr>
        <w:t xml:space="preserve"> QCCP and meet the conditions set out in subparagraph 145.3 of the Regulation on the treatment of counterparty credit risk for banks</w:t>
      </w:r>
      <w:r w:rsidRPr="00983A96">
        <w:rPr>
          <w:lang w:val="en-US"/>
        </w:rPr>
        <w:t xml:space="preserve"> </w:t>
      </w:r>
      <w:r w:rsidRPr="00983A96">
        <w:rPr>
          <w:rFonts w:ascii="Times New Roman" w:eastAsia="Calibri" w:hAnsi="Times New Roman" w:cs="Times New Roman"/>
          <w:kern w:val="0"/>
          <w:sz w:val="24"/>
          <w:szCs w:val="24"/>
          <w:lang w:val="en-US"/>
          <w14:ligatures w14:val="none"/>
        </w:rPr>
        <w:t>approved by Decision of the Executive Board of the NBM No. 220/2025 (hereinafter – Regulation No. 220/2025</w:t>
      </w:r>
      <w:proofErr w:type="gramStart"/>
      <w:r w:rsidRPr="00983A96">
        <w:rPr>
          <w:rFonts w:ascii="Times New Roman" w:eastAsia="Calibri" w:hAnsi="Times New Roman" w:cs="Times New Roman"/>
          <w:kern w:val="0"/>
          <w:sz w:val="24"/>
          <w:szCs w:val="24"/>
          <w:lang w:val="en-US"/>
          <w14:ligatures w14:val="none"/>
        </w:rPr>
        <w:t>);</w:t>
      </w:r>
      <w:proofErr w:type="gramEnd"/>
    </w:p>
    <w:p w14:paraId="7AC0689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2797C04" w14:textId="7C2AB6E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19.5.</w:t>
      </w:r>
      <w:r w:rsidRPr="00983A96">
        <w:rPr>
          <w:rFonts w:ascii="Times New Roman" w:eastAsia="Calibri" w:hAnsi="Times New Roman" w:cs="Times New Roman"/>
          <w:kern w:val="0"/>
          <w:sz w:val="24"/>
          <w:szCs w:val="24"/>
          <w:lang w:val="en-US"/>
          <w14:ligatures w14:val="none"/>
        </w:rPr>
        <w:t xml:space="preserve"> where the bank is an higher-level client in a multi-level client structure, the trade exposures to the clearing member or </w:t>
      </w:r>
      <w:r w:rsidR="0000260A" w:rsidRPr="00983A96">
        <w:rPr>
          <w:rFonts w:ascii="Times New Roman" w:eastAsia="Calibri" w:hAnsi="Times New Roman" w:cs="Times New Roman"/>
          <w:kern w:val="0"/>
          <w:sz w:val="24"/>
          <w:szCs w:val="24"/>
          <w:lang w:val="en-US"/>
          <w14:ligatures w14:val="none"/>
        </w:rPr>
        <w:t xml:space="preserve">to </w:t>
      </w:r>
      <w:r w:rsidRPr="00983A96">
        <w:rPr>
          <w:rFonts w:ascii="Times New Roman" w:eastAsia="Calibri" w:hAnsi="Times New Roman" w:cs="Times New Roman"/>
          <w:kern w:val="0"/>
          <w:sz w:val="24"/>
          <w:szCs w:val="24"/>
          <w:lang w:val="en-US"/>
          <w14:ligatures w14:val="none"/>
        </w:rPr>
        <w:t xml:space="preserve">an entity </w:t>
      </w:r>
      <w:r w:rsidR="0000260A" w:rsidRPr="00983A96">
        <w:rPr>
          <w:rFonts w:ascii="Times New Roman" w:eastAsia="Calibri" w:hAnsi="Times New Roman" w:cs="Times New Roman"/>
          <w:kern w:val="0"/>
          <w:sz w:val="24"/>
          <w:szCs w:val="24"/>
          <w:lang w:val="en-US"/>
          <w14:ligatures w14:val="none"/>
        </w:rPr>
        <w:t xml:space="preserve">that </w:t>
      </w:r>
      <w:proofErr w:type="spellStart"/>
      <w:r w:rsidR="0000260A" w:rsidRPr="00983A96">
        <w:rPr>
          <w:rFonts w:ascii="Times New Roman" w:eastAsia="Calibri" w:hAnsi="Times New Roman" w:cs="Times New Roman"/>
          <w:kern w:val="0"/>
          <w:sz w:val="24"/>
          <w:szCs w:val="24"/>
          <w:lang w:val="en-US"/>
          <w14:ligatures w14:val="none"/>
        </w:rPr>
        <w:t>serves</w:t>
      </w:r>
      <w:r w:rsidRPr="00983A96">
        <w:rPr>
          <w:rFonts w:ascii="Times New Roman" w:eastAsia="Calibri" w:hAnsi="Times New Roman" w:cs="Times New Roman"/>
          <w:kern w:val="0"/>
          <w:sz w:val="24"/>
          <w:szCs w:val="24"/>
          <w:lang w:val="en-US"/>
          <w14:ligatures w14:val="none"/>
        </w:rPr>
        <w:t>as</w:t>
      </w:r>
      <w:proofErr w:type="spellEnd"/>
      <w:r w:rsidRPr="00983A96">
        <w:rPr>
          <w:rFonts w:ascii="Times New Roman" w:eastAsia="Calibri" w:hAnsi="Times New Roman" w:cs="Times New Roman"/>
          <w:kern w:val="0"/>
          <w:sz w:val="24"/>
          <w:szCs w:val="24"/>
          <w:lang w:val="en-US"/>
          <w14:ligatures w14:val="none"/>
        </w:rPr>
        <w:t xml:space="preserve"> an higher-level client </w:t>
      </w:r>
      <w:r w:rsidR="0000260A" w:rsidRPr="00983A96">
        <w:rPr>
          <w:rFonts w:ascii="Times New Roman" w:eastAsia="Calibri" w:hAnsi="Times New Roman" w:cs="Times New Roman"/>
          <w:kern w:val="0"/>
          <w:sz w:val="24"/>
          <w:szCs w:val="24"/>
          <w:lang w:val="en-US"/>
          <w14:ligatures w14:val="none"/>
        </w:rPr>
        <w:t>to that</w:t>
      </w:r>
      <w:r w:rsidRPr="00983A96">
        <w:rPr>
          <w:rFonts w:ascii="Times New Roman" w:eastAsia="Calibri" w:hAnsi="Times New Roman" w:cs="Times New Roman"/>
          <w:kern w:val="0"/>
          <w:sz w:val="24"/>
          <w:szCs w:val="24"/>
          <w:lang w:val="en-US"/>
          <w14:ligatures w14:val="none"/>
        </w:rPr>
        <w:t xml:space="preserve"> bank, provided that the conditions set out in paragraphs 141 and 142 of the Regulation </w:t>
      </w:r>
      <w:bookmarkStart w:id="2" w:name="_Hlk223333637"/>
      <w:r w:rsidRPr="00983A96">
        <w:rPr>
          <w:rFonts w:ascii="Times New Roman" w:eastAsia="Calibri" w:hAnsi="Times New Roman" w:cs="Times New Roman"/>
          <w:kern w:val="0"/>
          <w:sz w:val="24"/>
          <w:szCs w:val="24"/>
          <w:lang w:val="en-US"/>
          <w14:ligatures w14:val="none"/>
        </w:rPr>
        <w:t xml:space="preserve">No.220/2025 </w:t>
      </w:r>
      <w:bookmarkEnd w:id="2"/>
      <w:r w:rsidRPr="00983A96">
        <w:rPr>
          <w:rFonts w:ascii="Times New Roman" w:eastAsia="Calibri" w:hAnsi="Times New Roman" w:cs="Times New Roman"/>
          <w:kern w:val="0"/>
          <w:sz w:val="24"/>
          <w:szCs w:val="24"/>
          <w:lang w:val="en-US"/>
          <w14:ligatures w14:val="none"/>
        </w:rPr>
        <w:t>are met, and provided that the bank is not obliged to reimburse its client for any losses suffered in the event of default of either the clearing member or the QCCP;</w:t>
      </w:r>
    </w:p>
    <w:p w14:paraId="4997756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27FC2F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19.6.</w:t>
      </w:r>
      <w:r w:rsidRPr="00983A96">
        <w:rPr>
          <w:rFonts w:ascii="Times New Roman" w:eastAsia="Calibri" w:hAnsi="Times New Roman" w:cs="Times New Roman"/>
          <w:kern w:val="0"/>
          <w:sz w:val="24"/>
          <w:szCs w:val="24"/>
          <w:lang w:val="en-US"/>
          <w14:ligatures w14:val="none"/>
        </w:rPr>
        <w:t xml:space="preserve"> fiduciary assets which meet all the following conditions:</w:t>
      </w:r>
    </w:p>
    <w:p w14:paraId="0A68443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D0CF54C"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19.6.1.</w:t>
      </w:r>
      <w:r w:rsidRPr="00983A96">
        <w:rPr>
          <w:rFonts w:ascii="Times New Roman" w:eastAsia="Calibri" w:hAnsi="Times New Roman" w:cs="Times New Roman"/>
          <w:kern w:val="0"/>
          <w:sz w:val="24"/>
          <w:szCs w:val="24"/>
          <w:lang w:val="en-US"/>
          <w14:ligatures w14:val="none"/>
        </w:rPr>
        <w:t xml:space="preserve"> they are recognized on the bank’s balance sheet in accordance with the general accounting principles laid down in Article 6 of Law No. 287/2017 on Accounting and Financial </w:t>
      </w:r>
      <w:proofErr w:type="gramStart"/>
      <w:r w:rsidRPr="00983A96">
        <w:rPr>
          <w:rFonts w:ascii="Times New Roman" w:eastAsia="Calibri" w:hAnsi="Times New Roman" w:cs="Times New Roman"/>
          <w:kern w:val="0"/>
          <w:sz w:val="24"/>
          <w:szCs w:val="24"/>
          <w:lang w:val="en-US"/>
          <w14:ligatures w14:val="none"/>
        </w:rPr>
        <w:t>Reporting;</w:t>
      </w:r>
      <w:proofErr w:type="gramEnd"/>
    </w:p>
    <w:p w14:paraId="552B5B3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B5761C9"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19.6.2.</w:t>
      </w:r>
      <w:r w:rsidRPr="00983A96">
        <w:rPr>
          <w:rFonts w:ascii="Times New Roman" w:eastAsia="Calibri" w:hAnsi="Times New Roman" w:cs="Times New Roman"/>
          <w:kern w:val="0"/>
          <w:sz w:val="24"/>
          <w:szCs w:val="24"/>
          <w:lang w:val="en-US"/>
          <w14:ligatures w14:val="none"/>
        </w:rPr>
        <w:t xml:space="preserve"> they meet the criteria for non-recognition set out in International Financial Reporting Standard (IFRS) </w:t>
      </w:r>
      <w:proofErr w:type="gramStart"/>
      <w:r w:rsidRPr="00983A96">
        <w:rPr>
          <w:rFonts w:ascii="Times New Roman" w:eastAsia="Calibri" w:hAnsi="Times New Roman" w:cs="Times New Roman"/>
          <w:kern w:val="0"/>
          <w:sz w:val="24"/>
          <w:szCs w:val="24"/>
          <w:lang w:val="en-US"/>
          <w14:ligatures w14:val="none"/>
        </w:rPr>
        <w:t>9;</w:t>
      </w:r>
      <w:proofErr w:type="gramEnd"/>
    </w:p>
    <w:p w14:paraId="624F522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81099C9"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19.6.3.</w:t>
      </w:r>
      <w:r w:rsidRPr="00983A96">
        <w:rPr>
          <w:rFonts w:ascii="Times New Roman" w:eastAsia="Calibri" w:hAnsi="Times New Roman" w:cs="Times New Roman"/>
          <w:kern w:val="0"/>
          <w:sz w:val="24"/>
          <w:szCs w:val="24"/>
          <w:lang w:val="en-US"/>
          <w14:ligatures w14:val="none"/>
        </w:rPr>
        <w:t xml:space="preserve"> they meet the criteria for non-consolidation criteria set out in IFRS 10, where </w:t>
      </w:r>
      <w:proofErr w:type="gramStart"/>
      <w:r w:rsidRPr="00983A96">
        <w:rPr>
          <w:rFonts w:ascii="Times New Roman" w:eastAsia="Calibri" w:hAnsi="Times New Roman" w:cs="Times New Roman"/>
          <w:kern w:val="0"/>
          <w:sz w:val="24"/>
          <w:szCs w:val="24"/>
          <w:lang w:val="en-US"/>
          <w14:ligatures w14:val="none"/>
        </w:rPr>
        <w:t>applicable;</w:t>
      </w:r>
      <w:proofErr w:type="gramEnd"/>
    </w:p>
    <w:p w14:paraId="4FE87D2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515FF6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19.7.</w:t>
      </w:r>
      <w:r w:rsidRPr="00983A96">
        <w:rPr>
          <w:rFonts w:ascii="Times New Roman" w:eastAsia="Calibri" w:hAnsi="Times New Roman" w:cs="Times New Roman"/>
          <w:kern w:val="0"/>
          <w:sz w:val="24"/>
          <w:szCs w:val="24"/>
          <w:lang w:val="en-US"/>
          <w14:ligatures w14:val="none"/>
        </w:rPr>
        <w:t xml:space="preserve"> exposures that meet all the following conditions:</w:t>
      </w:r>
    </w:p>
    <w:p w14:paraId="57F51CF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16603A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19.7.1.</w:t>
      </w:r>
      <w:r w:rsidRPr="00983A96">
        <w:rPr>
          <w:rFonts w:ascii="Times New Roman" w:eastAsia="Calibri" w:hAnsi="Times New Roman" w:cs="Times New Roman"/>
          <w:kern w:val="0"/>
          <w:sz w:val="24"/>
          <w:szCs w:val="24"/>
          <w:lang w:val="en-US"/>
          <w14:ligatures w14:val="none"/>
        </w:rPr>
        <w:t xml:space="preserve"> they are exposures to a public sector </w:t>
      </w:r>
      <w:proofErr w:type="gramStart"/>
      <w:r w:rsidRPr="00983A96">
        <w:rPr>
          <w:rFonts w:ascii="Times New Roman" w:eastAsia="Calibri" w:hAnsi="Times New Roman" w:cs="Times New Roman"/>
          <w:kern w:val="0"/>
          <w:sz w:val="24"/>
          <w:szCs w:val="24"/>
          <w:lang w:val="en-US"/>
          <w14:ligatures w14:val="none"/>
        </w:rPr>
        <w:t>entity;</w:t>
      </w:r>
      <w:proofErr w:type="gramEnd"/>
    </w:p>
    <w:p w14:paraId="71A8080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648918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19.7.2.</w:t>
      </w:r>
      <w:r w:rsidRPr="00983A96">
        <w:rPr>
          <w:rFonts w:ascii="Times New Roman" w:eastAsia="Calibri" w:hAnsi="Times New Roman" w:cs="Times New Roman"/>
          <w:kern w:val="0"/>
          <w:sz w:val="24"/>
          <w:szCs w:val="24"/>
          <w:lang w:val="en-US"/>
          <w14:ligatures w14:val="none"/>
        </w:rPr>
        <w:t xml:space="preserve"> they are treated as exposures to the central government in accordance with Section 3, Chapter IV of Regulation No. </w:t>
      </w:r>
      <w:proofErr w:type="gramStart"/>
      <w:r w:rsidRPr="00983A96">
        <w:rPr>
          <w:rFonts w:ascii="Times New Roman" w:eastAsia="Calibri" w:hAnsi="Times New Roman" w:cs="Times New Roman"/>
          <w:kern w:val="0"/>
          <w:sz w:val="24"/>
          <w:szCs w:val="24"/>
          <w:lang w:val="en-US"/>
          <w14:ligatures w14:val="none"/>
        </w:rPr>
        <w:t>111/2018;</w:t>
      </w:r>
      <w:proofErr w:type="gramEnd"/>
    </w:p>
    <w:p w14:paraId="3904405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325F278"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19.7.3.</w:t>
      </w:r>
      <w:r w:rsidRPr="00983A96">
        <w:rPr>
          <w:rFonts w:ascii="Times New Roman" w:eastAsia="Calibri" w:hAnsi="Times New Roman" w:cs="Times New Roman"/>
          <w:kern w:val="0"/>
          <w:sz w:val="24"/>
          <w:szCs w:val="24"/>
          <w:lang w:val="en-US"/>
          <w14:ligatures w14:val="none"/>
        </w:rPr>
        <w:t xml:space="preserve"> they arise from deposits that the bank is legally obliged to transfer to the public sector entity referred to in subparagraph 19.7.1 for the purpose of funding general interest </w:t>
      </w:r>
      <w:proofErr w:type="gramStart"/>
      <w:r w:rsidRPr="00983A96">
        <w:rPr>
          <w:rFonts w:ascii="Times New Roman" w:eastAsia="Calibri" w:hAnsi="Times New Roman" w:cs="Times New Roman"/>
          <w:kern w:val="0"/>
          <w:sz w:val="24"/>
          <w:szCs w:val="24"/>
          <w:lang w:val="en-US"/>
          <w14:ligatures w14:val="none"/>
        </w:rPr>
        <w:t>investments;</w:t>
      </w:r>
      <w:proofErr w:type="gramEnd"/>
    </w:p>
    <w:p w14:paraId="11D3D8C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72F6B5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19.8.</w:t>
      </w:r>
      <w:r w:rsidRPr="00983A96">
        <w:rPr>
          <w:rFonts w:ascii="Times New Roman" w:eastAsia="Calibri" w:hAnsi="Times New Roman" w:cs="Times New Roman"/>
          <w:kern w:val="0"/>
          <w:sz w:val="24"/>
          <w:szCs w:val="24"/>
          <w:lang w:val="en-US"/>
          <w14:ligatures w14:val="none"/>
        </w:rPr>
        <w:t xml:space="preserve"> the excess collateral deposited at tri-party agents that has not been lent </w:t>
      </w:r>
      <w:proofErr w:type="gramStart"/>
      <w:r w:rsidRPr="00983A96">
        <w:rPr>
          <w:rFonts w:ascii="Times New Roman" w:eastAsia="Calibri" w:hAnsi="Times New Roman" w:cs="Times New Roman"/>
          <w:kern w:val="0"/>
          <w:sz w:val="24"/>
          <w:szCs w:val="24"/>
          <w:lang w:val="en-US"/>
          <w14:ligatures w14:val="none"/>
        </w:rPr>
        <w:t>out;</w:t>
      </w:r>
      <w:proofErr w:type="gramEnd"/>
    </w:p>
    <w:p w14:paraId="41367CF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263FF31" w14:textId="4CA70E2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19.9.</w:t>
      </w:r>
      <w:r w:rsidRPr="00983A96">
        <w:rPr>
          <w:rFonts w:ascii="Times New Roman" w:eastAsia="Calibri" w:hAnsi="Times New Roman" w:cs="Times New Roman"/>
          <w:kern w:val="0"/>
          <w:sz w:val="24"/>
          <w:szCs w:val="24"/>
          <w:lang w:val="en-US"/>
          <w14:ligatures w14:val="none"/>
        </w:rPr>
        <w:t xml:space="preserve"> where, under the applicable accounting framework, a bank recognizes the variation margin paid in cash to its counterparty as a receivable asset, the receivable asset, provided that the conditions set out in subparagraphs 36.1–36.5 are </w:t>
      </w:r>
      <w:proofErr w:type="gramStart"/>
      <w:r w:rsidRPr="00983A96">
        <w:rPr>
          <w:rFonts w:ascii="Times New Roman" w:eastAsia="Calibri" w:hAnsi="Times New Roman" w:cs="Times New Roman"/>
          <w:kern w:val="0"/>
          <w:sz w:val="24"/>
          <w:szCs w:val="24"/>
          <w:lang w:val="en-US"/>
          <w14:ligatures w14:val="none"/>
        </w:rPr>
        <w:t>met;</w:t>
      </w:r>
      <w:proofErr w:type="gramEnd"/>
    </w:p>
    <w:p w14:paraId="3141EC3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910E083"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19.10.</w:t>
      </w:r>
      <w:r w:rsidRPr="00983A96">
        <w:rPr>
          <w:rFonts w:ascii="Times New Roman" w:eastAsia="Calibri" w:hAnsi="Times New Roman" w:cs="Times New Roman"/>
          <w:kern w:val="0"/>
          <w:sz w:val="24"/>
          <w:szCs w:val="24"/>
          <w:lang w:val="en-US"/>
          <w14:ligatures w14:val="none"/>
        </w:rPr>
        <w:t xml:space="preserve"> the following exposures to the bank’s central bank, subject to the conditions set out in paragraphs 21 and 22:</w:t>
      </w:r>
    </w:p>
    <w:p w14:paraId="2781E13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CA932A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19.10.1.</w:t>
      </w:r>
      <w:r w:rsidRPr="00983A96">
        <w:rPr>
          <w:rFonts w:ascii="Times New Roman" w:eastAsia="Calibri" w:hAnsi="Times New Roman" w:cs="Times New Roman"/>
          <w:kern w:val="0"/>
          <w:sz w:val="24"/>
          <w:szCs w:val="24"/>
          <w:lang w:val="en-US"/>
          <w14:ligatures w14:val="none"/>
        </w:rPr>
        <w:t xml:space="preserve"> coins and banknotes denominated in Moldovan leu, as well as coins and banknotes constituting legal currency in the jurisdiction of another central </w:t>
      </w:r>
      <w:proofErr w:type="gramStart"/>
      <w:r w:rsidRPr="00983A96">
        <w:rPr>
          <w:rFonts w:ascii="Times New Roman" w:eastAsia="Calibri" w:hAnsi="Times New Roman" w:cs="Times New Roman"/>
          <w:kern w:val="0"/>
          <w:sz w:val="24"/>
          <w:szCs w:val="24"/>
          <w:lang w:val="en-US"/>
          <w14:ligatures w14:val="none"/>
        </w:rPr>
        <w:t>bank;</w:t>
      </w:r>
      <w:proofErr w:type="gramEnd"/>
    </w:p>
    <w:p w14:paraId="4209E5D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0C2945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19.10.2.</w:t>
      </w:r>
      <w:r w:rsidRPr="00983A96">
        <w:rPr>
          <w:rFonts w:ascii="Times New Roman" w:eastAsia="Calibri" w:hAnsi="Times New Roman" w:cs="Times New Roman"/>
          <w:kern w:val="0"/>
          <w:sz w:val="24"/>
          <w:szCs w:val="24"/>
          <w:lang w:val="en-US"/>
          <w14:ligatures w14:val="none"/>
        </w:rPr>
        <w:t xml:space="preserve"> assets representing claims on the NBM, as well as on another central bank, including reserves held at the NBM or at another central bank.</w:t>
      </w:r>
    </w:p>
    <w:p w14:paraId="13C27CE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73F01A3" w14:textId="3FD6D725"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20.</w:t>
      </w:r>
      <w:r w:rsidRPr="00983A96">
        <w:rPr>
          <w:rFonts w:ascii="Times New Roman" w:eastAsia="Calibri" w:hAnsi="Times New Roman" w:cs="Times New Roman"/>
          <w:kern w:val="0"/>
          <w:sz w:val="24"/>
          <w:szCs w:val="24"/>
          <w:lang w:val="en-US"/>
          <w14:ligatures w14:val="none"/>
        </w:rPr>
        <w:t xml:space="preserve"> Banks shall not exclude the trade exposures referred to in subparagraphs 19.4 and 19.5 where the condition set out in paragraph 14 is </w:t>
      </w:r>
      <w:r w:rsidR="00404F79" w:rsidRPr="00983A96">
        <w:rPr>
          <w:rFonts w:ascii="Times New Roman" w:eastAsia="Calibri" w:hAnsi="Times New Roman" w:cs="Times New Roman"/>
          <w:kern w:val="0"/>
          <w:sz w:val="24"/>
          <w:szCs w:val="24"/>
          <w:lang w:val="en-US"/>
          <w14:ligatures w14:val="none"/>
        </w:rPr>
        <w:t>not met</w:t>
      </w:r>
      <w:r w:rsidRPr="00983A96">
        <w:rPr>
          <w:rFonts w:ascii="Times New Roman" w:eastAsia="Calibri" w:hAnsi="Times New Roman" w:cs="Times New Roman"/>
          <w:kern w:val="0"/>
          <w:sz w:val="24"/>
          <w:szCs w:val="24"/>
          <w:lang w:val="en-US"/>
          <w14:ligatures w14:val="none"/>
        </w:rPr>
        <w:t>.</w:t>
      </w:r>
    </w:p>
    <w:p w14:paraId="372EA1E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3052283" w14:textId="396C4FDD"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21.</w:t>
      </w:r>
      <w:r w:rsidRPr="00983A96">
        <w:rPr>
          <w:rFonts w:ascii="Times New Roman" w:eastAsia="Calibri" w:hAnsi="Times New Roman" w:cs="Times New Roman"/>
          <w:kern w:val="0"/>
          <w:sz w:val="24"/>
          <w:szCs w:val="24"/>
          <w:lang w:val="en-US"/>
          <w14:ligatures w14:val="none"/>
        </w:rPr>
        <w:t xml:space="preserve"> Banks may exclude the exposures listed in subparagraph 19.10 where </w:t>
      </w:r>
      <w:proofErr w:type="gramStart"/>
      <w:r w:rsidRPr="00983A96">
        <w:rPr>
          <w:rFonts w:ascii="Times New Roman" w:eastAsia="Calibri" w:hAnsi="Times New Roman" w:cs="Times New Roman"/>
          <w:kern w:val="0"/>
          <w:sz w:val="24"/>
          <w:szCs w:val="24"/>
          <w:lang w:val="en-US"/>
          <w14:ligatures w14:val="none"/>
        </w:rPr>
        <w:t xml:space="preserve">all </w:t>
      </w:r>
      <w:r w:rsidR="00404F79" w:rsidRPr="00983A96">
        <w:rPr>
          <w:rFonts w:ascii="Times New Roman" w:eastAsia="Calibri" w:hAnsi="Times New Roman" w:cs="Times New Roman"/>
          <w:kern w:val="0"/>
          <w:sz w:val="24"/>
          <w:szCs w:val="24"/>
          <w:lang w:val="en-US"/>
          <w14:ligatures w14:val="none"/>
        </w:rPr>
        <w:t>of</w:t>
      </w:r>
      <w:proofErr w:type="gramEnd"/>
      <w:r w:rsidR="00404F79"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the following conditions are met:</w:t>
      </w:r>
    </w:p>
    <w:p w14:paraId="4709B30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A2649FE"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21.1.</w:t>
      </w:r>
      <w:r w:rsidRPr="00983A96">
        <w:rPr>
          <w:rFonts w:ascii="Times New Roman" w:eastAsia="Calibri" w:hAnsi="Times New Roman" w:cs="Times New Roman"/>
          <w:kern w:val="0"/>
          <w:sz w:val="24"/>
          <w:szCs w:val="24"/>
          <w:lang w:val="en-US"/>
          <w14:ligatures w14:val="none"/>
        </w:rPr>
        <w:t xml:space="preserve"> the NBM has determined and publicly declared that exceptional circumstances exist that warrant the exclusion in order to facilitate the implementation of monetary </w:t>
      </w:r>
      <w:proofErr w:type="gramStart"/>
      <w:r w:rsidRPr="00983A96">
        <w:rPr>
          <w:rFonts w:ascii="Times New Roman" w:eastAsia="Calibri" w:hAnsi="Times New Roman" w:cs="Times New Roman"/>
          <w:kern w:val="0"/>
          <w:sz w:val="24"/>
          <w:szCs w:val="24"/>
          <w:lang w:val="en-US"/>
          <w14:ligatures w14:val="none"/>
        </w:rPr>
        <w:t>policy;</w:t>
      </w:r>
      <w:proofErr w:type="gramEnd"/>
    </w:p>
    <w:p w14:paraId="09F17A6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FF289A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21.2.</w:t>
      </w:r>
      <w:r w:rsidRPr="00983A96">
        <w:rPr>
          <w:rFonts w:ascii="Times New Roman" w:eastAsia="Calibri" w:hAnsi="Times New Roman" w:cs="Times New Roman"/>
          <w:kern w:val="0"/>
          <w:sz w:val="24"/>
          <w:szCs w:val="24"/>
          <w:lang w:val="en-US"/>
          <w14:ligatures w14:val="none"/>
        </w:rPr>
        <w:t xml:space="preserve"> the exemption is granted for a limited period of time not exceeding one </w:t>
      </w:r>
      <w:proofErr w:type="gramStart"/>
      <w:r w:rsidRPr="00983A96">
        <w:rPr>
          <w:rFonts w:ascii="Times New Roman" w:eastAsia="Calibri" w:hAnsi="Times New Roman" w:cs="Times New Roman"/>
          <w:kern w:val="0"/>
          <w:sz w:val="24"/>
          <w:szCs w:val="24"/>
          <w:lang w:val="en-US"/>
          <w14:ligatures w14:val="none"/>
        </w:rPr>
        <w:t>year;</w:t>
      </w:r>
      <w:proofErr w:type="gramEnd"/>
    </w:p>
    <w:p w14:paraId="6698A92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99D5DC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21.3.</w:t>
      </w:r>
      <w:r w:rsidRPr="00983A96">
        <w:rPr>
          <w:rFonts w:ascii="Times New Roman" w:eastAsia="Calibri" w:hAnsi="Times New Roman" w:cs="Times New Roman"/>
          <w:kern w:val="0"/>
          <w:sz w:val="24"/>
          <w:szCs w:val="24"/>
          <w:lang w:val="en-US"/>
          <w14:ligatures w14:val="none"/>
        </w:rPr>
        <w:t xml:space="preserve"> the NBM has determined the date when the exceptional circumstances are deemed to have started and publicly announced that date; that date shall be set at the end of a quarter.</w:t>
      </w:r>
    </w:p>
    <w:p w14:paraId="7523B91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68095B9" w14:textId="30086C4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22.</w:t>
      </w:r>
      <w:r w:rsidRPr="00983A96">
        <w:rPr>
          <w:rFonts w:ascii="Times New Roman" w:eastAsia="Calibri" w:hAnsi="Times New Roman" w:cs="Times New Roman"/>
          <w:kern w:val="0"/>
          <w:sz w:val="24"/>
          <w:szCs w:val="24"/>
          <w:lang w:val="en-US"/>
          <w14:ligatures w14:val="none"/>
        </w:rPr>
        <w:t xml:space="preserve"> The exposures to be excluded under subparagraph 19.10 shall meet both </w:t>
      </w:r>
      <w:r w:rsidR="00404F79" w:rsidRPr="00983A96">
        <w:rPr>
          <w:rFonts w:ascii="Times New Roman" w:eastAsia="Calibri" w:hAnsi="Times New Roman" w:cs="Times New Roman"/>
          <w:kern w:val="0"/>
          <w:sz w:val="24"/>
          <w:szCs w:val="24"/>
          <w:lang w:val="en-US"/>
          <w14:ligatures w14:val="none"/>
        </w:rPr>
        <w:t xml:space="preserve">of </w:t>
      </w:r>
      <w:r w:rsidRPr="00983A96">
        <w:rPr>
          <w:rFonts w:ascii="Times New Roman" w:eastAsia="Calibri" w:hAnsi="Times New Roman" w:cs="Times New Roman"/>
          <w:kern w:val="0"/>
          <w:sz w:val="24"/>
          <w:szCs w:val="24"/>
          <w:lang w:val="en-US"/>
          <w14:ligatures w14:val="none"/>
        </w:rPr>
        <w:t>the following conditions:</w:t>
      </w:r>
    </w:p>
    <w:p w14:paraId="3DFCC97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5CA1D1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22.1.</w:t>
      </w:r>
      <w:r w:rsidRPr="00983A96">
        <w:rPr>
          <w:rFonts w:ascii="Times New Roman" w:eastAsia="Calibri" w:hAnsi="Times New Roman" w:cs="Times New Roman"/>
          <w:kern w:val="0"/>
          <w:sz w:val="24"/>
          <w:szCs w:val="24"/>
          <w:lang w:val="en-US"/>
          <w14:ligatures w14:val="none"/>
        </w:rPr>
        <w:t xml:space="preserve"> they are denominated in the same currency as the deposits taken by the </w:t>
      </w:r>
      <w:proofErr w:type="gramStart"/>
      <w:r w:rsidRPr="00983A96">
        <w:rPr>
          <w:rFonts w:ascii="Times New Roman" w:eastAsia="Calibri" w:hAnsi="Times New Roman" w:cs="Times New Roman"/>
          <w:kern w:val="0"/>
          <w:sz w:val="24"/>
          <w:szCs w:val="24"/>
          <w:lang w:val="en-US"/>
          <w14:ligatures w14:val="none"/>
        </w:rPr>
        <w:t>bank;</w:t>
      </w:r>
      <w:proofErr w:type="gramEnd"/>
    </w:p>
    <w:p w14:paraId="55CBF2E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C3223B8"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22.2.</w:t>
      </w:r>
      <w:r w:rsidRPr="00983A96">
        <w:rPr>
          <w:rFonts w:ascii="Times New Roman" w:eastAsia="Calibri" w:hAnsi="Times New Roman" w:cs="Times New Roman"/>
          <w:kern w:val="0"/>
          <w:sz w:val="24"/>
          <w:szCs w:val="24"/>
          <w:lang w:val="en-US"/>
          <w14:ligatures w14:val="none"/>
        </w:rPr>
        <w:t xml:space="preserve"> their average maturity does not significantly exceed the average maturity of the deposits taken by the bank.</w:t>
      </w:r>
    </w:p>
    <w:p w14:paraId="7A910C3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98F0AB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23.</w:t>
      </w:r>
      <w:r w:rsidRPr="00983A96">
        <w:rPr>
          <w:rFonts w:ascii="Times New Roman" w:eastAsia="Calibri" w:hAnsi="Times New Roman" w:cs="Times New Roman"/>
          <w:kern w:val="0"/>
          <w:sz w:val="24"/>
          <w:szCs w:val="24"/>
          <w:lang w:val="en-US"/>
          <w14:ligatures w14:val="none"/>
        </w:rPr>
        <w:t xml:space="preserve"> By way of derogation from subparagraph 4) of paragraph 130 of Regulation No. 109/2018, where a bank excludes the exposures referred to in subparagraph 19.10, the bank shall </w:t>
      </w:r>
      <w:proofErr w:type="gramStart"/>
      <w:r w:rsidRPr="00983A96">
        <w:rPr>
          <w:rFonts w:ascii="Times New Roman" w:eastAsia="Calibri" w:hAnsi="Times New Roman" w:cs="Times New Roman"/>
          <w:kern w:val="0"/>
          <w:sz w:val="24"/>
          <w:szCs w:val="24"/>
          <w:lang w:val="en-US"/>
          <w14:ligatures w14:val="none"/>
        </w:rPr>
        <w:t>at all times</w:t>
      </w:r>
      <w:proofErr w:type="gramEnd"/>
      <w:r w:rsidRPr="00983A96">
        <w:rPr>
          <w:rFonts w:ascii="Times New Roman" w:eastAsia="Calibri" w:hAnsi="Times New Roman" w:cs="Times New Roman"/>
          <w:kern w:val="0"/>
          <w:sz w:val="24"/>
          <w:szCs w:val="24"/>
          <w:lang w:val="en-US"/>
          <w14:ligatures w14:val="none"/>
        </w:rPr>
        <w:t xml:space="preserve"> satisfy the following adjusted leverage ratio for the duration of the exclusion:</w:t>
      </w:r>
    </w:p>
    <w:p w14:paraId="6F9B4C9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3D5766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Times New Roman" w:hAnsi="Times New Roman" w:cs="Times New Roman"/>
          <w:bCs/>
          <w:noProof/>
          <w:kern w:val="0"/>
          <w:sz w:val="24"/>
          <w:szCs w:val="24"/>
          <w:lang w:val="en-US" w:eastAsia="ro-MD"/>
          <w14:ligatures w14:val="none"/>
        </w:rPr>
        <w:drawing>
          <wp:inline distT="0" distB="0" distL="0" distR="0" wp14:anchorId="76B44B49" wp14:editId="7DB91532">
            <wp:extent cx="2545715" cy="607060"/>
            <wp:effectExtent l="0" t="0" r="6985" b="254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5715" cy="607060"/>
                    </a:xfrm>
                    <a:prstGeom prst="rect">
                      <a:avLst/>
                    </a:prstGeom>
                    <a:noFill/>
                    <a:ln>
                      <a:noFill/>
                    </a:ln>
                  </pic:spPr>
                </pic:pic>
              </a:graphicData>
            </a:graphic>
          </wp:inline>
        </w:drawing>
      </w:r>
    </w:p>
    <w:p w14:paraId="1F2CF0F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where:</w:t>
      </w:r>
    </w:p>
    <w:p w14:paraId="1A25048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92A9B5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proofErr w:type="spellStart"/>
      <w:r w:rsidRPr="00983A96">
        <w:rPr>
          <w:rFonts w:ascii="Times New Roman" w:eastAsia="Calibri" w:hAnsi="Times New Roman" w:cs="Times New Roman"/>
          <w:kern w:val="0"/>
          <w:sz w:val="24"/>
          <w:szCs w:val="24"/>
          <w:lang w:val="en-US"/>
          <w14:ligatures w14:val="none"/>
        </w:rPr>
        <w:t>aLR</w:t>
      </w:r>
      <w:proofErr w:type="spellEnd"/>
      <w:r w:rsidRPr="00983A96">
        <w:rPr>
          <w:rFonts w:ascii="Times New Roman" w:eastAsia="Calibri" w:hAnsi="Times New Roman" w:cs="Times New Roman"/>
          <w:kern w:val="0"/>
          <w:sz w:val="24"/>
          <w:szCs w:val="24"/>
          <w:lang w:val="en-US"/>
          <w14:ligatures w14:val="none"/>
        </w:rPr>
        <w:t xml:space="preserve"> = the adjusted leverage </w:t>
      </w:r>
      <w:proofErr w:type="gramStart"/>
      <w:r w:rsidRPr="00983A96">
        <w:rPr>
          <w:rFonts w:ascii="Times New Roman" w:eastAsia="Calibri" w:hAnsi="Times New Roman" w:cs="Times New Roman"/>
          <w:kern w:val="0"/>
          <w:sz w:val="24"/>
          <w:szCs w:val="24"/>
          <w:lang w:val="en-US"/>
          <w14:ligatures w14:val="none"/>
        </w:rPr>
        <w:t>ratio;</w:t>
      </w:r>
      <w:proofErr w:type="gramEnd"/>
    </w:p>
    <w:p w14:paraId="1296F1B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3C4A6EB"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EM</w:t>
      </w:r>
      <w:r w:rsidRPr="00983A96">
        <w:rPr>
          <w:rFonts w:ascii="Times New Roman" w:eastAsia="Calibri" w:hAnsi="Times New Roman" w:cs="Times New Roman"/>
          <w:kern w:val="0"/>
          <w:sz w:val="24"/>
          <w:szCs w:val="24"/>
          <w:vertAlign w:val="subscript"/>
          <w:lang w:val="en-US"/>
          <w14:ligatures w14:val="none"/>
        </w:rPr>
        <w:t>LR</w:t>
      </w:r>
      <w:r w:rsidRPr="00983A96">
        <w:rPr>
          <w:rFonts w:ascii="Times New Roman" w:eastAsia="Calibri" w:hAnsi="Times New Roman" w:cs="Times New Roman"/>
          <w:kern w:val="0"/>
          <w:sz w:val="24"/>
          <w:szCs w:val="24"/>
          <w:lang w:val="en-US"/>
          <w14:ligatures w14:val="none"/>
        </w:rPr>
        <w:t xml:space="preserve"> = the bank’s total exposure measure as calculated in accordance with paragraphs 9–11, including the exposures excluded in accordance with subparagraph 19.10, on the date referred to in subparagraph 21.3; and</w:t>
      </w:r>
    </w:p>
    <w:p w14:paraId="6A44553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A871D7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CB = the daily average total value of the bank’s exposures to its central bank, calculated over the full reserve maintenance period of the central bank immediately preceding the date referred to in subparagraph 21.3, that are eligible to be excluded in accordance with subparagraph 19.10.</w:t>
      </w:r>
    </w:p>
    <w:p w14:paraId="0C8328D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EC19CB0" w14:textId="4E2E9E5C"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 xml:space="preserve">Section 4 – Calculation of </w:t>
      </w:r>
      <w:r w:rsidR="00404F79" w:rsidRPr="00983A96">
        <w:rPr>
          <w:rFonts w:ascii="Times New Roman" w:eastAsia="Calibri" w:hAnsi="Times New Roman" w:cs="Times New Roman"/>
          <w:b/>
          <w:bCs/>
          <w:kern w:val="0"/>
          <w:sz w:val="24"/>
          <w:szCs w:val="24"/>
          <w:lang w:val="en-US"/>
          <w14:ligatures w14:val="none"/>
        </w:rPr>
        <w:t>the exposure value of assets</w:t>
      </w:r>
    </w:p>
    <w:p w14:paraId="532D6663" w14:textId="77777777" w:rsidR="00AB0B5E" w:rsidRPr="00983A96" w:rsidRDefault="00AB0B5E" w:rsidP="00CC0A57">
      <w:pPr>
        <w:spacing w:after="0" w:line="240" w:lineRule="auto"/>
        <w:ind w:firstLine="708"/>
        <w:jc w:val="both"/>
        <w:rPr>
          <w:rFonts w:ascii="Times New Roman" w:eastAsia="Calibri" w:hAnsi="Times New Roman" w:cs="Times New Roman"/>
          <w:b/>
          <w:bCs/>
          <w:kern w:val="0"/>
          <w:sz w:val="24"/>
          <w:szCs w:val="24"/>
          <w:lang w:val="en-US"/>
          <w14:ligatures w14:val="none"/>
        </w:rPr>
      </w:pPr>
    </w:p>
    <w:p w14:paraId="04A4DFB6" w14:textId="6D7DFC98"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24.</w:t>
      </w:r>
      <w:r w:rsidRPr="00983A96">
        <w:rPr>
          <w:rFonts w:ascii="Times New Roman" w:eastAsia="Calibri" w:hAnsi="Times New Roman" w:cs="Times New Roman"/>
          <w:kern w:val="0"/>
          <w:sz w:val="24"/>
          <w:szCs w:val="24"/>
          <w:lang w:val="en-US"/>
          <w14:ligatures w14:val="none"/>
        </w:rPr>
        <w:t xml:space="preserve"> Banks shall calculate the exposure value of assets, excluding derivative contracts listed in Annex No. 1 of Regulation No. 114/2018, credit derivative</w:t>
      </w:r>
      <w:r w:rsidR="00AB0B5E"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and the positions referred to in Section 7, in accordance with the following principles:</w:t>
      </w:r>
    </w:p>
    <w:p w14:paraId="4426FF7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7225FF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24.1.</w:t>
      </w:r>
      <w:r w:rsidRPr="00983A96">
        <w:rPr>
          <w:rFonts w:ascii="Times New Roman" w:eastAsia="Calibri" w:hAnsi="Times New Roman" w:cs="Times New Roman"/>
          <w:kern w:val="0"/>
          <w:sz w:val="24"/>
          <w:szCs w:val="24"/>
          <w:lang w:val="en-US"/>
          <w14:ligatures w14:val="none"/>
        </w:rPr>
        <w:t xml:space="preserve"> the exposure value of assets means an exposure value as referred to in paragraph 5 of Regulation No. </w:t>
      </w:r>
      <w:proofErr w:type="gramStart"/>
      <w:r w:rsidRPr="00983A96">
        <w:rPr>
          <w:rFonts w:ascii="Times New Roman" w:eastAsia="Calibri" w:hAnsi="Times New Roman" w:cs="Times New Roman"/>
          <w:kern w:val="0"/>
          <w:sz w:val="24"/>
          <w:szCs w:val="24"/>
          <w:lang w:val="en-US"/>
          <w14:ligatures w14:val="none"/>
        </w:rPr>
        <w:t>111/2018;</w:t>
      </w:r>
      <w:proofErr w:type="gramEnd"/>
    </w:p>
    <w:p w14:paraId="6CC8D00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EE2D246"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24.2.</w:t>
      </w:r>
      <w:r w:rsidRPr="00983A96">
        <w:rPr>
          <w:rFonts w:ascii="Times New Roman" w:eastAsia="Calibri" w:hAnsi="Times New Roman" w:cs="Times New Roman"/>
          <w:kern w:val="0"/>
          <w:sz w:val="24"/>
          <w:szCs w:val="24"/>
          <w:lang w:val="en-US"/>
          <w14:ligatures w14:val="none"/>
        </w:rPr>
        <w:t xml:space="preserve"> securities financing transactions shall not be netted.</w:t>
      </w:r>
    </w:p>
    <w:p w14:paraId="0EA9A6F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D771BFD" w14:textId="491D61F6"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25.</w:t>
      </w:r>
      <w:r w:rsidRPr="00983A96">
        <w:rPr>
          <w:rFonts w:ascii="Times New Roman" w:eastAsia="Calibri" w:hAnsi="Times New Roman" w:cs="Times New Roman"/>
          <w:kern w:val="0"/>
          <w:sz w:val="24"/>
          <w:szCs w:val="24"/>
          <w:lang w:val="en-US"/>
          <w14:ligatures w14:val="none"/>
        </w:rPr>
        <w:t xml:space="preserve"> A cash pooling </w:t>
      </w:r>
      <w:r w:rsidR="00E53A72" w:rsidRPr="00983A96">
        <w:rPr>
          <w:rFonts w:ascii="Times New Roman" w:eastAsia="Calibri" w:hAnsi="Times New Roman" w:cs="Times New Roman"/>
          <w:kern w:val="0"/>
          <w:sz w:val="24"/>
          <w:szCs w:val="24"/>
          <w:lang w:val="en-US"/>
          <w14:ligatures w14:val="none"/>
        </w:rPr>
        <w:t>arrangement</w:t>
      </w:r>
      <w:r w:rsidR="00983A96"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offered by a bank does violate the condition set out in subparagraph 16.2 only where the agreement meets both of the following conditions:</w:t>
      </w:r>
    </w:p>
    <w:p w14:paraId="7D796C9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6488340" w14:textId="0743EF3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25.1.</w:t>
      </w:r>
      <w:r w:rsidRPr="00983A96">
        <w:rPr>
          <w:rFonts w:ascii="Times New Roman" w:eastAsia="Calibri" w:hAnsi="Times New Roman" w:cs="Times New Roman"/>
          <w:kern w:val="0"/>
          <w:sz w:val="24"/>
          <w:szCs w:val="24"/>
          <w:lang w:val="en-US"/>
          <w14:ligatures w14:val="none"/>
        </w:rPr>
        <w:t xml:space="preserve"> the bank offering the cash pooling </w:t>
      </w:r>
      <w:r w:rsidR="00E53A72" w:rsidRPr="00983A96">
        <w:rPr>
          <w:rFonts w:ascii="Times New Roman" w:eastAsia="Calibri" w:hAnsi="Times New Roman" w:cs="Times New Roman"/>
          <w:kern w:val="0"/>
          <w:sz w:val="24"/>
          <w:szCs w:val="24"/>
          <w:lang w:val="en-US"/>
          <w14:ligatures w14:val="none"/>
        </w:rPr>
        <w:t>arrangement</w:t>
      </w:r>
      <w:r w:rsidR="00983A96"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 xml:space="preserve">transfers the credit and debit balances of several individual accounts of entities of a group included in the agreement (“original accounts”) into a separate, single account and thereby sets the balances of the original accounts to </w:t>
      </w:r>
      <w:proofErr w:type="gramStart"/>
      <w:r w:rsidRPr="00983A96">
        <w:rPr>
          <w:rFonts w:ascii="Times New Roman" w:eastAsia="Calibri" w:hAnsi="Times New Roman" w:cs="Times New Roman"/>
          <w:kern w:val="0"/>
          <w:sz w:val="24"/>
          <w:szCs w:val="24"/>
          <w:lang w:val="en-US"/>
          <w14:ligatures w14:val="none"/>
        </w:rPr>
        <w:t>zero;</w:t>
      </w:r>
      <w:proofErr w:type="gramEnd"/>
    </w:p>
    <w:p w14:paraId="16DFFB5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9BA8204"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25.2.</w:t>
      </w:r>
      <w:r w:rsidRPr="00983A96">
        <w:rPr>
          <w:rFonts w:ascii="Times New Roman" w:eastAsia="Calibri" w:hAnsi="Times New Roman" w:cs="Times New Roman"/>
          <w:kern w:val="0"/>
          <w:sz w:val="24"/>
          <w:szCs w:val="24"/>
          <w:lang w:val="en-US"/>
          <w14:ligatures w14:val="none"/>
        </w:rPr>
        <w:t xml:space="preserve"> the bank carries out the actions referred to in subparagraph 25.1 </w:t>
      </w:r>
      <w:proofErr w:type="gramStart"/>
      <w:r w:rsidRPr="00983A96">
        <w:rPr>
          <w:rFonts w:ascii="Times New Roman" w:eastAsia="Calibri" w:hAnsi="Times New Roman" w:cs="Times New Roman"/>
          <w:kern w:val="0"/>
          <w:sz w:val="24"/>
          <w:szCs w:val="24"/>
          <w:lang w:val="en-US"/>
          <w14:ligatures w14:val="none"/>
        </w:rPr>
        <w:t>on a daily basis</w:t>
      </w:r>
      <w:proofErr w:type="gramEnd"/>
      <w:r w:rsidRPr="00983A96">
        <w:rPr>
          <w:rFonts w:ascii="Times New Roman" w:eastAsia="Calibri" w:hAnsi="Times New Roman" w:cs="Times New Roman"/>
          <w:kern w:val="0"/>
          <w:sz w:val="24"/>
          <w:szCs w:val="24"/>
          <w:lang w:val="en-US"/>
          <w14:ligatures w14:val="none"/>
        </w:rPr>
        <w:t>.</w:t>
      </w:r>
    </w:p>
    <w:p w14:paraId="731A908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D271994" w14:textId="543BCF9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26.</w:t>
      </w:r>
      <w:r w:rsidRPr="00983A96">
        <w:rPr>
          <w:rFonts w:ascii="Times New Roman" w:eastAsia="Calibri" w:hAnsi="Times New Roman" w:cs="Times New Roman"/>
          <w:kern w:val="0"/>
          <w:sz w:val="24"/>
          <w:szCs w:val="24"/>
          <w:lang w:val="en-US"/>
          <w14:ligatures w14:val="none"/>
        </w:rPr>
        <w:t xml:space="preserve"> For the purposes of paragraphs 25 and 27, a cash pooling </w:t>
      </w:r>
      <w:bookmarkStart w:id="3" w:name="_Hlk223340940"/>
      <w:bookmarkStart w:id="4" w:name="_Hlk223340920"/>
      <w:r w:rsidR="00AB0B5E" w:rsidRPr="00983A96">
        <w:rPr>
          <w:rFonts w:ascii="Times New Roman" w:eastAsia="Calibri" w:hAnsi="Times New Roman" w:cs="Times New Roman"/>
          <w:kern w:val="0"/>
          <w:sz w:val="24"/>
          <w:szCs w:val="24"/>
          <w:lang w:val="en-US"/>
          <w14:ligatures w14:val="none"/>
        </w:rPr>
        <w:t>arrangement</w:t>
      </w:r>
      <w:bookmarkEnd w:id="3"/>
      <w:bookmarkEnd w:id="4"/>
      <w:r w:rsidR="00983A96"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means an agreement under whereby the credit or debit balances of several individual accounts are combined for the purpose of cash or liquidity management.</w:t>
      </w:r>
    </w:p>
    <w:p w14:paraId="400D25E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373A7F1" w14:textId="1597B4D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27.</w:t>
      </w:r>
      <w:r w:rsidRPr="00983A96">
        <w:rPr>
          <w:rFonts w:ascii="Times New Roman" w:eastAsia="Calibri" w:hAnsi="Times New Roman" w:cs="Times New Roman"/>
          <w:kern w:val="0"/>
          <w:sz w:val="24"/>
          <w:szCs w:val="24"/>
          <w:lang w:val="en-US"/>
          <w14:ligatures w14:val="none"/>
        </w:rPr>
        <w:t xml:space="preserve"> By way of derogation from paragraph 25, a cash pooling </w:t>
      </w:r>
      <w:r w:rsidR="00AB0B5E" w:rsidRPr="00983A96">
        <w:rPr>
          <w:rFonts w:ascii="Times New Roman" w:eastAsia="Calibri" w:hAnsi="Times New Roman" w:cs="Times New Roman"/>
          <w:kern w:val="0"/>
          <w:sz w:val="24"/>
          <w:szCs w:val="24"/>
          <w:lang w:val="en-US"/>
          <w14:ligatures w14:val="none"/>
        </w:rPr>
        <w:t>arrangement</w:t>
      </w:r>
      <w:r w:rsidR="00983A96"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that does not meet the condition laid down in subparagraph 25.2 but meets the condition set out in subparagraph 25.1, does not violate the condition set out in subparagraph 16.2, provided that the agreement meets all the following conditions:</w:t>
      </w:r>
    </w:p>
    <w:p w14:paraId="16FEBC0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57FBBC5"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27.1.</w:t>
      </w:r>
      <w:r w:rsidRPr="00983A96">
        <w:rPr>
          <w:rFonts w:ascii="Times New Roman" w:eastAsia="Calibri" w:hAnsi="Times New Roman" w:cs="Times New Roman"/>
          <w:kern w:val="0"/>
          <w:sz w:val="24"/>
          <w:szCs w:val="24"/>
          <w:lang w:val="en-US"/>
          <w14:ligatures w14:val="none"/>
        </w:rPr>
        <w:t xml:space="preserve"> the bank has a legally enforceable right to set off the balances of the original accounts through the transfer into a single account at any point in </w:t>
      </w:r>
      <w:proofErr w:type="gramStart"/>
      <w:r w:rsidRPr="00983A96">
        <w:rPr>
          <w:rFonts w:ascii="Times New Roman" w:eastAsia="Calibri" w:hAnsi="Times New Roman" w:cs="Times New Roman"/>
          <w:kern w:val="0"/>
          <w:sz w:val="24"/>
          <w:szCs w:val="24"/>
          <w:lang w:val="en-US"/>
          <w14:ligatures w14:val="none"/>
        </w:rPr>
        <w:t>time;</w:t>
      </w:r>
      <w:proofErr w:type="gramEnd"/>
    </w:p>
    <w:p w14:paraId="505357F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863ACE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27.2.</w:t>
      </w:r>
      <w:r w:rsidRPr="00983A96">
        <w:rPr>
          <w:rFonts w:ascii="Times New Roman" w:eastAsia="Calibri" w:hAnsi="Times New Roman" w:cs="Times New Roman"/>
          <w:kern w:val="0"/>
          <w:sz w:val="24"/>
          <w:szCs w:val="24"/>
          <w:lang w:val="en-US"/>
          <w14:ligatures w14:val="none"/>
        </w:rPr>
        <w:t xml:space="preserve"> there are no maturity mismatches between the balances of the original </w:t>
      </w:r>
      <w:proofErr w:type="gramStart"/>
      <w:r w:rsidRPr="00983A96">
        <w:rPr>
          <w:rFonts w:ascii="Times New Roman" w:eastAsia="Calibri" w:hAnsi="Times New Roman" w:cs="Times New Roman"/>
          <w:kern w:val="0"/>
          <w:sz w:val="24"/>
          <w:szCs w:val="24"/>
          <w:lang w:val="en-US"/>
          <w14:ligatures w14:val="none"/>
        </w:rPr>
        <w:t>accounts;</w:t>
      </w:r>
      <w:proofErr w:type="gramEnd"/>
    </w:p>
    <w:p w14:paraId="12ECD68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2EF1D96" w14:textId="51AFB7CE"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27.3.</w:t>
      </w:r>
      <w:r w:rsidRPr="00983A96">
        <w:rPr>
          <w:rFonts w:ascii="Times New Roman" w:eastAsia="Calibri" w:hAnsi="Times New Roman" w:cs="Times New Roman"/>
          <w:kern w:val="0"/>
          <w:sz w:val="24"/>
          <w:szCs w:val="24"/>
          <w:lang w:val="en-US"/>
          <w14:ligatures w14:val="none"/>
        </w:rPr>
        <w:t xml:space="preserve"> the bank </w:t>
      </w:r>
      <w:r w:rsidR="00E53A72" w:rsidRPr="00983A96">
        <w:rPr>
          <w:rFonts w:ascii="Times New Roman" w:eastAsia="Calibri" w:hAnsi="Times New Roman" w:cs="Times New Roman"/>
          <w:kern w:val="0"/>
          <w:sz w:val="24"/>
          <w:szCs w:val="24"/>
          <w:lang w:val="en-US"/>
          <w14:ligatures w14:val="none"/>
        </w:rPr>
        <w:t xml:space="preserve">charges or pays </w:t>
      </w:r>
      <w:r w:rsidRPr="00983A96">
        <w:rPr>
          <w:rFonts w:ascii="Times New Roman" w:eastAsia="Calibri" w:hAnsi="Times New Roman" w:cs="Times New Roman"/>
          <w:kern w:val="0"/>
          <w:sz w:val="24"/>
          <w:szCs w:val="24"/>
          <w:lang w:val="en-US"/>
          <w14:ligatures w14:val="none"/>
        </w:rPr>
        <w:t xml:space="preserve">interest based on the combined balance of the original </w:t>
      </w:r>
      <w:proofErr w:type="gramStart"/>
      <w:r w:rsidRPr="00983A96">
        <w:rPr>
          <w:rFonts w:ascii="Times New Roman" w:eastAsia="Calibri" w:hAnsi="Times New Roman" w:cs="Times New Roman"/>
          <w:kern w:val="0"/>
          <w:sz w:val="24"/>
          <w:szCs w:val="24"/>
          <w:lang w:val="en-US"/>
          <w14:ligatures w14:val="none"/>
        </w:rPr>
        <w:t>accounts;</w:t>
      </w:r>
      <w:proofErr w:type="gramEnd"/>
    </w:p>
    <w:p w14:paraId="4A4ED8D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DE15F4F" w14:textId="34F1B32C"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27.4.</w:t>
      </w:r>
      <w:r w:rsidRPr="00983A96">
        <w:rPr>
          <w:rFonts w:ascii="Times New Roman" w:eastAsia="Calibri" w:hAnsi="Times New Roman" w:cs="Times New Roman"/>
          <w:kern w:val="0"/>
          <w:sz w:val="24"/>
          <w:szCs w:val="24"/>
          <w:lang w:val="en-US"/>
          <w14:ligatures w14:val="none"/>
        </w:rPr>
        <w:t xml:space="preserve"> the NBM considers that the frequency by which the balances of all original account</w:t>
      </w:r>
      <w:r w:rsidR="00E53A72"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are transferred is adequate for the purpose of including only the combined balance of the cash pooling arrangement in the total exposure measure.</w:t>
      </w:r>
    </w:p>
    <w:p w14:paraId="5A12442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9CE2A19"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28.</w:t>
      </w:r>
      <w:r w:rsidRPr="00983A96">
        <w:rPr>
          <w:rFonts w:ascii="Times New Roman" w:eastAsia="Calibri" w:hAnsi="Times New Roman" w:cs="Times New Roman"/>
          <w:kern w:val="0"/>
          <w:sz w:val="24"/>
          <w:szCs w:val="24"/>
          <w:lang w:val="en-US"/>
          <w14:ligatures w14:val="none"/>
        </w:rPr>
        <w:t xml:space="preserve"> By way of derogation from subparagraph 24.2, banks may calculate the exposure value of cash receivables and cash payables under securities financing transactions with the same counterparty on a net basis only if </w:t>
      </w:r>
      <w:proofErr w:type="gramStart"/>
      <w:r w:rsidRPr="00983A96">
        <w:rPr>
          <w:rFonts w:ascii="Times New Roman" w:eastAsia="Calibri" w:hAnsi="Times New Roman" w:cs="Times New Roman"/>
          <w:kern w:val="0"/>
          <w:sz w:val="24"/>
          <w:szCs w:val="24"/>
          <w:lang w:val="en-US"/>
          <w14:ligatures w14:val="none"/>
        </w:rPr>
        <w:t>all of</w:t>
      </w:r>
      <w:proofErr w:type="gramEnd"/>
      <w:r w:rsidRPr="00983A96">
        <w:rPr>
          <w:rFonts w:ascii="Times New Roman" w:eastAsia="Calibri" w:hAnsi="Times New Roman" w:cs="Times New Roman"/>
          <w:kern w:val="0"/>
          <w:sz w:val="24"/>
          <w:szCs w:val="24"/>
          <w:lang w:val="en-US"/>
          <w14:ligatures w14:val="none"/>
        </w:rPr>
        <w:t xml:space="preserve"> the following conditions are met:</w:t>
      </w:r>
    </w:p>
    <w:p w14:paraId="4531B9F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FB79A50"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28.1.</w:t>
      </w:r>
      <w:r w:rsidRPr="00983A96">
        <w:rPr>
          <w:rFonts w:ascii="Times New Roman" w:eastAsia="Calibri" w:hAnsi="Times New Roman" w:cs="Times New Roman"/>
          <w:kern w:val="0"/>
          <w:sz w:val="24"/>
          <w:szCs w:val="24"/>
          <w:lang w:val="en-US"/>
          <w14:ligatures w14:val="none"/>
        </w:rPr>
        <w:t xml:space="preserve"> the transactions have the same explicit final settlement </w:t>
      </w:r>
      <w:proofErr w:type="gramStart"/>
      <w:r w:rsidRPr="00983A96">
        <w:rPr>
          <w:rFonts w:ascii="Times New Roman" w:eastAsia="Calibri" w:hAnsi="Times New Roman" w:cs="Times New Roman"/>
          <w:kern w:val="0"/>
          <w:sz w:val="24"/>
          <w:szCs w:val="24"/>
          <w:lang w:val="en-US"/>
          <w14:ligatures w14:val="none"/>
        </w:rPr>
        <w:t>date;</w:t>
      </w:r>
      <w:proofErr w:type="gramEnd"/>
    </w:p>
    <w:p w14:paraId="61A7AC4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88908F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28.2.</w:t>
      </w:r>
      <w:r w:rsidRPr="00983A96">
        <w:rPr>
          <w:rFonts w:ascii="Times New Roman" w:eastAsia="Calibri" w:hAnsi="Times New Roman" w:cs="Times New Roman"/>
          <w:kern w:val="0"/>
          <w:sz w:val="24"/>
          <w:szCs w:val="24"/>
          <w:lang w:val="en-US"/>
          <w14:ligatures w14:val="none"/>
        </w:rPr>
        <w:t xml:space="preserve"> the right to set off the amount owed to the counterparty with the amount owed by the counterparty is legally enforceable in the normal course of business and in the event of default, insolvency, or </w:t>
      </w:r>
      <w:proofErr w:type="gramStart"/>
      <w:r w:rsidRPr="00983A96">
        <w:rPr>
          <w:rFonts w:ascii="Times New Roman" w:eastAsia="Calibri" w:hAnsi="Times New Roman" w:cs="Times New Roman"/>
          <w:kern w:val="0"/>
          <w:sz w:val="24"/>
          <w:szCs w:val="24"/>
          <w:lang w:val="en-US"/>
          <w14:ligatures w14:val="none"/>
        </w:rPr>
        <w:t>bankruptcy;</w:t>
      </w:r>
      <w:proofErr w:type="gramEnd"/>
    </w:p>
    <w:p w14:paraId="3C2AD30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1EDF2BB"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28.3.</w:t>
      </w:r>
      <w:r w:rsidRPr="00983A96">
        <w:rPr>
          <w:rFonts w:ascii="Times New Roman" w:eastAsia="Calibri" w:hAnsi="Times New Roman" w:cs="Times New Roman"/>
          <w:kern w:val="0"/>
          <w:sz w:val="24"/>
          <w:szCs w:val="24"/>
          <w:lang w:val="en-US"/>
          <w14:ligatures w14:val="none"/>
        </w:rPr>
        <w:t xml:space="preserve"> the counterparties intend to settle on a net basis or to settle simultaneously, or the transactions are subject to a settlement mechanism that results in the functional equivalent of net settlement.</w:t>
      </w:r>
    </w:p>
    <w:p w14:paraId="3085C53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6EB2A7E"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29.</w:t>
      </w:r>
      <w:r w:rsidRPr="00983A96">
        <w:rPr>
          <w:rFonts w:ascii="Times New Roman" w:eastAsia="Calibri" w:hAnsi="Times New Roman" w:cs="Times New Roman"/>
          <w:kern w:val="0"/>
          <w:sz w:val="24"/>
          <w:szCs w:val="24"/>
          <w:lang w:val="en-US"/>
          <w14:ligatures w14:val="none"/>
        </w:rPr>
        <w:t xml:space="preserve"> For the purposes of subparagraph 28.3, banks may consider that a settlement mechanism results in the functional equivalent of net settlement only where, on the settlement date, the net result of the cash flows of the transactions under that mechanism is equal to the single net amount under net settlement and </w:t>
      </w:r>
      <w:proofErr w:type="gramStart"/>
      <w:r w:rsidRPr="00983A96">
        <w:rPr>
          <w:rFonts w:ascii="Times New Roman" w:eastAsia="Calibri" w:hAnsi="Times New Roman" w:cs="Times New Roman"/>
          <w:kern w:val="0"/>
          <w:sz w:val="24"/>
          <w:szCs w:val="24"/>
          <w:lang w:val="en-US"/>
          <w14:ligatures w14:val="none"/>
        </w:rPr>
        <w:t>all of</w:t>
      </w:r>
      <w:proofErr w:type="gramEnd"/>
      <w:r w:rsidRPr="00983A96">
        <w:rPr>
          <w:rFonts w:ascii="Times New Roman" w:eastAsia="Calibri" w:hAnsi="Times New Roman" w:cs="Times New Roman"/>
          <w:kern w:val="0"/>
          <w:sz w:val="24"/>
          <w:szCs w:val="24"/>
          <w:lang w:val="en-US"/>
          <w14:ligatures w14:val="none"/>
        </w:rPr>
        <w:t xml:space="preserve"> the following conditions are met:</w:t>
      </w:r>
    </w:p>
    <w:p w14:paraId="56C9EC0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B6FC01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29.1.</w:t>
      </w:r>
      <w:r w:rsidRPr="00983A96">
        <w:rPr>
          <w:rFonts w:ascii="Times New Roman" w:eastAsia="Calibri" w:hAnsi="Times New Roman" w:cs="Times New Roman"/>
          <w:kern w:val="0"/>
          <w:sz w:val="24"/>
          <w:szCs w:val="24"/>
          <w:lang w:val="en-US"/>
          <w14:ligatures w14:val="none"/>
        </w:rPr>
        <w:t xml:space="preserve"> the transactions are settled through the same settlement system or through systems that use a common settlement </w:t>
      </w:r>
      <w:proofErr w:type="gramStart"/>
      <w:r w:rsidRPr="00983A96">
        <w:rPr>
          <w:rFonts w:ascii="Times New Roman" w:eastAsia="Calibri" w:hAnsi="Times New Roman" w:cs="Times New Roman"/>
          <w:kern w:val="0"/>
          <w:sz w:val="24"/>
          <w:szCs w:val="24"/>
          <w:lang w:val="en-US"/>
          <w14:ligatures w14:val="none"/>
        </w:rPr>
        <w:t>infrastructure;</w:t>
      </w:r>
      <w:proofErr w:type="gramEnd"/>
    </w:p>
    <w:p w14:paraId="292961D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39B3804" w14:textId="78006B0C"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29.2.</w:t>
      </w:r>
      <w:r w:rsidRPr="00983A96">
        <w:rPr>
          <w:rFonts w:ascii="Times New Roman" w:eastAsia="Calibri" w:hAnsi="Times New Roman" w:cs="Times New Roman"/>
          <w:kern w:val="0"/>
          <w:sz w:val="24"/>
          <w:szCs w:val="24"/>
          <w:lang w:val="en-US"/>
          <w14:ligatures w14:val="none"/>
        </w:rPr>
        <w:t xml:space="preserve"> the settlement </w:t>
      </w:r>
      <w:r w:rsidR="0074681B" w:rsidRPr="00983A96">
        <w:rPr>
          <w:rFonts w:ascii="Times New Roman" w:eastAsia="Calibri" w:hAnsi="Times New Roman" w:cs="Times New Roman"/>
          <w:kern w:val="0"/>
          <w:sz w:val="24"/>
          <w:szCs w:val="24"/>
          <w:lang w:val="en-US"/>
          <w14:ligatures w14:val="none"/>
        </w:rPr>
        <w:t>arrangements</w:t>
      </w:r>
      <w:r w:rsid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 xml:space="preserve">are supported by cash or intraday credit facilities intended to ensure that the settlement of the transactions will occur by the end of the business </w:t>
      </w:r>
      <w:proofErr w:type="gramStart"/>
      <w:r w:rsidRPr="00983A96">
        <w:rPr>
          <w:rFonts w:ascii="Times New Roman" w:eastAsia="Calibri" w:hAnsi="Times New Roman" w:cs="Times New Roman"/>
          <w:kern w:val="0"/>
          <w:sz w:val="24"/>
          <w:szCs w:val="24"/>
          <w:lang w:val="en-US"/>
          <w14:ligatures w14:val="none"/>
        </w:rPr>
        <w:t>day;</w:t>
      </w:r>
      <w:proofErr w:type="gramEnd"/>
    </w:p>
    <w:p w14:paraId="64C0D32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471A056" w14:textId="4E5D0B9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29.3.</w:t>
      </w:r>
      <w:r w:rsidRPr="00983A96">
        <w:rPr>
          <w:rFonts w:ascii="Times New Roman" w:eastAsia="Calibri" w:hAnsi="Times New Roman" w:cs="Times New Roman"/>
          <w:kern w:val="0"/>
          <w:sz w:val="24"/>
          <w:szCs w:val="24"/>
          <w:lang w:val="en-US"/>
          <w14:ligatures w14:val="none"/>
        </w:rPr>
        <w:t xml:space="preserve"> any issues arising from the securities leg</w:t>
      </w:r>
      <w:r w:rsidR="0074681B"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of the securities financing transactions do not interfere with the completion of net settlement of the cash receivables and payables.</w:t>
      </w:r>
    </w:p>
    <w:p w14:paraId="2620F84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9E1B15B" w14:textId="6D54269C"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30.</w:t>
      </w:r>
      <w:r w:rsidRPr="00983A96">
        <w:rPr>
          <w:rFonts w:ascii="Times New Roman" w:eastAsia="Calibri" w:hAnsi="Times New Roman" w:cs="Times New Roman"/>
          <w:kern w:val="0"/>
          <w:sz w:val="24"/>
          <w:szCs w:val="24"/>
          <w:lang w:val="en-US"/>
          <w14:ligatures w14:val="none"/>
        </w:rPr>
        <w:t xml:space="preserve"> The condition set put in subparagraph 29.3 is met only where the failure of any securities financing transaction in the settlement mechanism may delay settlement of only the matching cash leg or may create an obligation to the settlement </w:t>
      </w:r>
      <w:r w:rsidR="0074681B" w:rsidRPr="00983A96">
        <w:rPr>
          <w:rFonts w:ascii="Times New Roman" w:eastAsia="Calibri" w:hAnsi="Times New Roman" w:cs="Times New Roman"/>
          <w:kern w:val="0"/>
          <w:sz w:val="24"/>
          <w:szCs w:val="24"/>
          <w:lang w:val="en-US"/>
          <w14:ligatures w14:val="none"/>
        </w:rPr>
        <w:t xml:space="preserve">mechanism, </w:t>
      </w:r>
      <w:r w:rsidRPr="00983A96">
        <w:rPr>
          <w:rFonts w:ascii="Times New Roman" w:eastAsia="Calibri" w:hAnsi="Times New Roman" w:cs="Times New Roman"/>
          <w:kern w:val="0"/>
          <w:sz w:val="24"/>
          <w:szCs w:val="24"/>
          <w:lang w:val="en-US"/>
          <w14:ligatures w14:val="none"/>
        </w:rPr>
        <w:t>supported by an associated credit facility.</w:t>
      </w:r>
    </w:p>
    <w:p w14:paraId="425DC9A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30EAE9E" w14:textId="4E1115B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31.</w:t>
      </w:r>
      <w:r w:rsidRPr="00983A96">
        <w:rPr>
          <w:rFonts w:ascii="Times New Roman" w:eastAsia="Calibri" w:hAnsi="Times New Roman" w:cs="Times New Roman"/>
          <w:kern w:val="0"/>
          <w:sz w:val="24"/>
          <w:szCs w:val="24"/>
          <w:lang w:val="en-US"/>
          <w14:ligatures w14:val="none"/>
        </w:rPr>
        <w:t xml:space="preserve"> Where there is a failure of the securities leg of a securities financing transaction in the settlement mechanism at the end of the window for settlement in the settlement mechanism, the bank</w:t>
      </w:r>
      <w:r w:rsidR="0074681B"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shall split out this transaction and its matching cash leg from the netting set and treat them on a gross basis.</w:t>
      </w:r>
    </w:p>
    <w:p w14:paraId="054DA2C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E6AEC7D"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5 – Calculation of the exposure value of derivatives</w:t>
      </w:r>
    </w:p>
    <w:p w14:paraId="36FF275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595FE36"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32.</w:t>
      </w:r>
      <w:r w:rsidRPr="00983A96">
        <w:rPr>
          <w:rFonts w:ascii="Times New Roman" w:eastAsia="Calibri" w:hAnsi="Times New Roman" w:cs="Times New Roman"/>
          <w:kern w:val="0"/>
          <w:sz w:val="24"/>
          <w:szCs w:val="24"/>
          <w:lang w:val="en-US"/>
          <w14:ligatures w14:val="none"/>
        </w:rPr>
        <w:t xml:space="preserve"> Banks shall calculate the exposure value of derivative contracts listed in Annex No. 1 of Regulation No. 114/2018 and of credit derivatives, including those that are off-balance-sheet, in accordance with the standardized approach set out in the Regulation on the treatment of counterparty credit risk for banks.</w:t>
      </w:r>
    </w:p>
    <w:p w14:paraId="16465F3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4C0B0A8" w14:textId="44FAD0E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33.</w:t>
      </w:r>
      <w:r w:rsidRPr="00983A96">
        <w:rPr>
          <w:rFonts w:ascii="Times New Roman" w:eastAsia="Calibri" w:hAnsi="Times New Roman" w:cs="Times New Roman"/>
          <w:kern w:val="0"/>
          <w:sz w:val="24"/>
          <w:szCs w:val="24"/>
          <w:lang w:val="en-US"/>
          <w14:ligatures w14:val="none"/>
        </w:rPr>
        <w:t xml:space="preserve"> When calculating the exposure value, banks may </w:t>
      </w:r>
      <w:proofErr w:type="gramStart"/>
      <w:r w:rsidRPr="00983A96">
        <w:rPr>
          <w:rFonts w:ascii="Times New Roman" w:eastAsia="Calibri" w:hAnsi="Times New Roman" w:cs="Times New Roman"/>
          <w:kern w:val="0"/>
          <w:sz w:val="24"/>
          <w:szCs w:val="24"/>
          <w:lang w:val="en-US"/>
          <w14:ligatures w14:val="none"/>
        </w:rPr>
        <w:t>take into account</w:t>
      </w:r>
      <w:proofErr w:type="gramEnd"/>
      <w:r w:rsidRPr="00983A96">
        <w:rPr>
          <w:rFonts w:ascii="Times New Roman" w:eastAsia="Calibri" w:hAnsi="Times New Roman" w:cs="Times New Roman"/>
          <w:kern w:val="0"/>
          <w:sz w:val="24"/>
          <w:szCs w:val="24"/>
          <w:lang w:val="en-US"/>
          <w14:ligatures w14:val="none"/>
        </w:rPr>
        <w:t xml:space="preserve"> the effects of contracts for novation and other netting agreements in accordance with paragraphs 106 and 107 of the Regulation No.220/2025.</w:t>
      </w:r>
    </w:p>
    <w:p w14:paraId="0F45DC6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625E85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34.</w:t>
      </w:r>
      <w:r w:rsidRPr="00983A96">
        <w:rPr>
          <w:rFonts w:ascii="Times New Roman" w:eastAsia="Calibri" w:hAnsi="Times New Roman" w:cs="Times New Roman"/>
          <w:kern w:val="0"/>
          <w:sz w:val="24"/>
          <w:szCs w:val="24"/>
          <w:lang w:val="en-US"/>
          <w14:ligatures w14:val="none"/>
        </w:rPr>
        <w:t xml:space="preserve"> Banks shall include in the total exposure measure sold options.</w:t>
      </w:r>
    </w:p>
    <w:p w14:paraId="774F018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CFBAE61"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35.</w:t>
      </w:r>
      <w:r w:rsidRPr="00983A96">
        <w:rPr>
          <w:rFonts w:ascii="Times New Roman" w:eastAsia="Calibri" w:hAnsi="Times New Roman" w:cs="Times New Roman"/>
          <w:kern w:val="0"/>
          <w:sz w:val="24"/>
          <w:szCs w:val="24"/>
          <w:lang w:val="en-US"/>
          <w14:ligatures w14:val="none"/>
        </w:rPr>
        <w:t xml:space="preserve"> Where the provision of collateral related to derivative contracts reduces the amount of assets under the applicable accounting framework, banks shall reverse that reduction.</w:t>
      </w:r>
    </w:p>
    <w:p w14:paraId="4E5D9A9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7FFE359" w14:textId="137A941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36.</w:t>
      </w:r>
      <w:r w:rsidRPr="00983A96">
        <w:rPr>
          <w:rFonts w:ascii="Times New Roman" w:eastAsia="Calibri" w:hAnsi="Times New Roman" w:cs="Times New Roman"/>
          <w:kern w:val="0"/>
          <w:sz w:val="24"/>
          <w:szCs w:val="24"/>
          <w:lang w:val="en-US"/>
          <w14:ligatures w14:val="none"/>
        </w:rPr>
        <w:t xml:space="preserve"> For the purposes of paragraphs 32–34, banks calculating the replacement cost of derivative contracts in accordance with paragraphs 49-51 of the Regulation No.220/2025  may recognize only collateral received in cash from their counterparties, as the variation margin referred to in those paragraphs, where the applicable accounting framework</w:t>
      </w:r>
      <w:r w:rsidR="00064248" w:rsidRPr="00983A96">
        <w:rPr>
          <w:rFonts w:ascii="Times New Roman" w:eastAsia="Calibri" w:hAnsi="Times New Roman" w:cs="Times New Roman"/>
          <w:kern w:val="0"/>
          <w:sz w:val="24"/>
          <w:szCs w:val="24"/>
          <w:lang w:val="en-US"/>
          <w14:ligatures w14:val="none"/>
        </w:rPr>
        <w:t xml:space="preserve"> has</w:t>
      </w:r>
      <w:r w:rsidRPr="00983A96">
        <w:rPr>
          <w:rFonts w:ascii="Times New Roman" w:eastAsia="Calibri" w:hAnsi="Times New Roman" w:cs="Times New Roman"/>
          <w:kern w:val="0"/>
          <w:sz w:val="24"/>
          <w:szCs w:val="24"/>
          <w:lang w:val="en-US"/>
          <w14:ligatures w14:val="none"/>
        </w:rPr>
        <w:t xml:space="preserve"> not already recognized the variation margin as a reduction of the exposure value and where all the following conditions are met:</w:t>
      </w:r>
    </w:p>
    <w:p w14:paraId="2EC1C76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B0B1D1F" w14:textId="608F8DA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36.1.</w:t>
      </w:r>
      <w:r w:rsidRPr="00983A96">
        <w:rPr>
          <w:rFonts w:ascii="Times New Roman" w:eastAsia="Calibri" w:hAnsi="Times New Roman" w:cs="Times New Roman"/>
          <w:kern w:val="0"/>
          <w:sz w:val="24"/>
          <w:szCs w:val="24"/>
          <w:lang w:val="en-US"/>
          <w14:ligatures w14:val="none"/>
        </w:rPr>
        <w:t xml:space="preserve"> for trades not cleared through a QCCP, the cash received by the recipient counterparty is not segregated from the </w:t>
      </w:r>
      <w:proofErr w:type="spellStart"/>
      <w:r w:rsidR="00064248" w:rsidRPr="00983A96">
        <w:rPr>
          <w:rFonts w:ascii="Times New Roman" w:eastAsia="Calibri" w:hAnsi="Times New Roman" w:cs="Times New Roman"/>
          <w:kern w:val="0"/>
          <w:sz w:val="24"/>
          <w:szCs w:val="24"/>
          <w:lang w:val="en-US"/>
          <w14:ligatures w14:val="none"/>
        </w:rPr>
        <w:t>assers</w:t>
      </w:r>
      <w:proofErr w:type="spellEnd"/>
      <w:r w:rsidR="00064248" w:rsidRPr="00983A96">
        <w:rPr>
          <w:rFonts w:ascii="Times New Roman" w:eastAsia="Calibri" w:hAnsi="Times New Roman" w:cs="Times New Roman"/>
          <w:kern w:val="0"/>
          <w:sz w:val="24"/>
          <w:szCs w:val="24"/>
          <w:lang w:val="en-US"/>
          <w14:ligatures w14:val="none"/>
        </w:rPr>
        <w:t xml:space="preserve"> of the </w:t>
      </w:r>
      <w:proofErr w:type="gramStart"/>
      <w:r w:rsidRPr="00983A96">
        <w:rPr>
          <w:rFonts w:ascii="Times New Roman" w:eastAsia="Calibri" w:hAnsi="Times New Roman" w:cs="Times New Roman"/>
          <w:kern w:val="0"/>
          <w:sz w:val="24"/>
          <w:szCs w:val="24"/>
          <w:lang w:val="en-US"/>
          <w14:ligatures w14:val="none"/>
        </w:rPr>
        <w:t>bank;</w:t>
      </w:r>
      <w:proofErr w:type="gramEnd"/>
    </w:p>
    <w:p w14:paraId="5469074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C49008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36.2.</w:t>
      </w:r>
      <w:r w:rsidRPr="00983A96">
        <w:rPr>
          <w:rFonts w:ascii="Times New Roman" w:eastAsia="Calibri" w:hAnsi="Times New Roman" w:cs="Times New Roman"/>
          <w:kern w:val="0"/>
          <w:sz w:val="24"/>
          <w:szCs w:val="24"/>
          <w:lang w:val="en-US"/>
          <w14:ligatures w14:val="none"/>
        </w:rPr>
        <w:t xml:space="preserve"> the variation margin is calculated and exchanged at least daily, based on the mark-to-market valuation of the derivative </w:t>
      </w:r>
      <w:proofErr w:type="gramStart"/>
      <w:r w:rsidRPr="00983A96">
        <w:rPr>
          <w:rFonts w:ascii="Times New Roman" w:eastAsia="Calibri" w:hAnsi="Times New Roman" w:cs="Times New Roman"/>
          <w:kern w:val="0"/>
          <w:sz w:val="24"/>
          <w:szCs w:val="24"/>
          <w:lang w:val="en-US"/>
          <w14:ligatures w14:val="none"/>
        </w:rPr>
        <w:t>positions;</w:t>
      </w:r>
      <w:proofErr w:type="gramEnd"/>
    </w:p>
    <w:p w14:paraId="77A68E7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BB541E1" w14:textId="7E3AC11E"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36.3.</w:t>
      </w:r>
      <w:r w:rsidRPr="00983A96">
        <w:rPr>
          <w:rFonts w:ascii="Times New Roman" w:eastAsia="Calibri" w:hAnsi="Times New Roman" w:cs="Times New Roman"/>
          <w:kern w:val="0"/>
          <w:sz w:val="24"/>
          <w:szCs w:val="24"/>
          <w:lang w:val="en-US"/>
          <w14:ligatures w14:val="none"/>
        </w:rPr>
        <w:t xml:space="preserve"> the variation margin received is in a currency specified in the derivative contract, governing master netting agreement, credit support annex to the qualifying master netting agreement, or as defined by any agreement with a </w:t>
      </w:r>
      <w:proofErr w:type="gramStart"/>
      <w:r w:rsidRPr="00983A96">
        <w:rPr>
          <w:rFonts w:ascii="Times New Roman" w:eastAsia="Calibri" w:hAnsi="Times New Roman" w:cs="Times New Roman"/>
          <w:kern w:val="0"/>
          <w:sz w:val="24"/>
          <w:szCs w:val="24"/>
          <w:lang w:val="en-US"/>
          <w14:ligatures w14:val="none"/>
        </w:rPr>
        <w:t>QCCP;</w:t>
      </w:r>
      <w:proofErr w:type="gramEnd"/>
    </w:p>
    <w:p w14:paraId="03AD20F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3D58CF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36.4.</w:t>
      </w:r>
      <w:r w:rsidRPr="00983A96">
        <w:rPr>
          <w:rFonts w:ascii="Times New Roman" w:eastAsia="Calibri" w:hAnsi="Times New Roman" w:cs="Times New Roman"/>
          <w:kern w:val="0"/>
          <w:sz w:val="24"/>
          <w:szCs w:val="24"/>
          <w:lang w:val="en-US"/>
          <w14:ligatures w14:val="none"/>
        </w:rPr>
        <w:t xml:space="preserve"> the variation margin received is the full amount that would be necessary to extinguish the mark-to-market exposure of the derivative contract subject to thresholds and minimum transfer amounts that are applicable to the </w:t>
      </w:r>
      <w:proofErr w:type="gramStart"/>
      <w:r w:rsidRPr="00983A96">
        <w:rPr>
          <w:rFonts w:ascii="Times New Roman" w:eastAsia="Calibri" w:hAnsi="Times New Roman" w:cs="Times New Roman"/>
          <w:kern w:val="0"/>
          <w:sz w:val="24"/>
          <w:szCs w:val="24"/>
          <w:lang w:val="en-US"/>
          <w14:ligatures w14:val="none"/>
        </w:rPr>
        <w:t>counterparty;</w:t>
      </w:r>
      <w:proofErr w:type="gramEnd"/>
    </w:p>
    <w:p w14:paraId="528E1AF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0ADBF97" w14:textId="0906CE2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36.5.</w:t>
      </w:r>
      <w:r w:rsidRPr="00983A96">
        <w:rPr>
          <w:rFonts w:ascii="Times New Roman" w:eastAsia="Calibri" w:hAnsi="Times New Roman" w:cs="Times New Roman"/>
          <w:kern w:val="0"/>
          <w:sz w:val="24"/>
          <w:szCs w:val="24"/>
          <w:lang w:val="en-US"/>
          <w14:ligatures w14:val="none"/>
        </w:rPr>
        <w:t xml:space="preserve"> the derivative contract and the variation margin between the bank and the counterparty to that contract are covered by a single netting agreement that the bank may treat as a risk-reducing in accordance with paragraphs 106 and 107 of the Regulation No.220/2025.</w:t>
      </w:r>
    </w:p>
    <w:p w14:paraId="149BC45F"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6C9330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37.</w:t>
      </w:r>
      <w:r w:rsidRPr="00983A96">
        <w:rPr>
          <w:rFonts w:ascii="Times New Roman" w:eastAsia="Calibri" w:hAnsi="Times New Roman" w:cs="Times New Roman"/>
          <w:kern w:val="0"/>
          <w:sz w:val="24"/>
          <w:szCs w:val="24"/>
          <w:lang w:val="en-US"/>
          <w14:ligatures w14:val="none"/>
        </w:rPr>
        <w:t xml:space="preserve"> Where a bank provides cash collateral to a counterparty and that collateral meets the conditions set out in subparagraphs 36.1–36.5, the bank shall consider that collateral as the variation margin posted to the counterparty and shall include it in the calculation of the replacement cost.</w:t>
      </w:r>
    </w:p>
    <w:p w14:paraId="5FB8389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95FBB8B"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38.</w:t>
      </w:r>
      <w:r w:rsidRPr="00983A96">
        <w:rPr>
          <w:rFonts w:ascii="Times New Roman" w:eastAsia="Calibri" w:hAnsi="Times New Roman" w:cs="Times New Roman"/>
          <w:kern w:val="0"/>
          <w:sz w:val="24"/>
          <w:szCs w:val="24"/>
          <w:lang w:val="en-US"/>
          <w14:ligatures w14:val="none"/>
        </w:rPr>
        <w:t xml:space="preserve"> For the purposes of subparagraph 36.2, a bank shall be considered to have met the condition set out therein where the variation margin is exchanged on the morning of the trading day following the trading day on which the derivative contract was stipulated, provided that the exchange is based on the value of the contract at the end of the trading day on which the contract was stipulate.</w:t>
      </w:r>
    </w:p>
    <w:p w14:paraId="28AA904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26E946B"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39.</w:t>
      </w:r>
      <w:r w:rsidRPr="00983A96">
        <w:rPr>
          <w:rFonts w:ascii="Times New Roman" w:eastAsia="Calibri" w:hAnsi="Times New Roman" w:cs="Times New Roman"/>
          <w:kern w:val="0"/>
          <w:sz w:val="24"/>
          <w:szCs w:val="24"/>
          <w:lang w:val="en-US"/>
          <w14:ligatures w14:val="none"/>
        </w:rPr>
        <w:t xml:space="preserve"> For the purposes of subparagraph 36.4, where a margin dispute arises, banks may recognize the amount of non-disputed collateral that has been exchanged.</w:t>
      </w:r>
    </w:p>
    <w:p w14:paraId="57409A6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470FAFF" w14:textId="6520004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40.</w:t>
      </w:r>
      <w:r w:rsidRPr="00983A96">
        <w:rPr>
          <w:rFonts w:ascii="Times New Roman" w:eastAsia="Calibri" w:hAnsi="Times New Roman" w:cs="Times New Roman"/>
          <w:kern w:val="0"/>
          <w:sz w:val="24"/>
          <w:szCs w:val="24"/>
          <w:lang w:val="en-US"/>
          <w14:ligatures w14:val="none"/>
        </w:rPr>
        <w:t xml:space="preserve"> For the purposes of paragraphs 32–34, when calculating the net independent collateral amount (NICA), as defined in paragraph 3 of the Regulation No.220/2025, banks shall not include collateral received.</w:t>
      </w:r>
    </w:p>
    <w:p w14:paraId="5D59F9B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FCD4BE6" w14:textId="4317A33F"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41.</w:t>
      </w:r>
      <w:r w:rsidRPr="00983A96">
        <w:rPr>
          <w:rFonts w:ascii="Times New Roman" w:eastAsia="Calibri" w:hAnsi="Times New Roman" w:cs="Times New Roman"/>
          <w:kern w:val="0"/>
          <w:sz w:val="24"/>
          <w:szCs w:val="24"/>
          <w:lang w:val="en-US"/>
          <w14:ligatures w14:val="none"/>
        </w:rPr>
        <w:t xml:space="preserve"> By way of derogation from paragraphs 36–40, a bank may recognize any collateral received in accordance with Chapter III of the Regulation No.220/2025, </w:t>
      </w:r>
      <w:r w:rsidR="00751A22" w:rsidRPr="00983A96">
        <w:rPr>
          <w:rFonts w:ascii="Times New Roman" w:eastAsia="Calibri" w:hAnsi="Times New Roman" w:cs="Times New Roman"/>
          <w:kern w:val="0"/>
          <w:sz w:val="24"/>
          <w:szCs w:val="24"/>
          <w:lang w:val="en-US"/>
          <w14:ligatures w14:val="none"/>
        </w:rPr>
        <w:t>where</w:t>
      </w:r>
      <w:r w:rsidR="00983A96">
        <w:rPr>
          <w:rFonts w:ascii="Times New Roman" w:eastAsia="Calibri" w:hAnsi="Times New Roman" w:cs="Times New Roman"/>
          <w:kern w:val="0"/>
          <w:sz w:val="24"/>
          <w:szCs w:val="24"/>
          <w:lang w:val="en-US"/>
          <w14:ligatures w14:val="none"/>
        </w:rPr>
        <w:t xml:space="preserve"> </w:t>
      </w:r>
      <w:proofErr w:type="gramStart"/>
      <w:r w:rsidRPr="00983A96">
        <w:rPr>
          <w:rFonts w:ascii="Times New Roman" w:eastAsia="Calibri" w:hAnsi="Times New Roman" w:cs="Times New Roman"/>
          <w:kern w:val="0"/>
          <w:sz w:val="24"/>
          <w:szCs w:val="24"/>
          <w:lang w:val="en-US"/>
          <w14:ligatures w14:val="none"/>
        </w:rPr>
        <w:t>all of</w:t>
      </w:r>
      <w:proofErr w:type="gramEnd"/>
      <w:r w:rsidRPr="00983A96">
        <w:rPr>
          <w:rFonts w:ascii="Times New Roman" w:eastAsia="Calibri" w:hAnsi="Times New Roman" w:cs="Times New Roman"/>
          <w:kern w:val="0"/>
          <w:sz w:val="24"/>
          <w:szCs w:val="24"/>
          <w:lang w:val="en-US"/>
          <w14:ligatures w14:val="none"/>
        </w:rPr>
        <w:t xml:space="preserve"> the following conditions are met:</w:t>
      </w:r>
    </w:p>
    <w:p w14:paraId="61E5AAC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2D516D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41.1.</w:t>
      </w:r>
      <w:r w:rsidRPr="00983A96">
        <w:rPr>
          <w:rFonts w:ascii="Times New Roman" w:eastAsia="Calibri" w:hAnsi="Times New Roman" w:cs="Times New Roman"/>
          <w:kern w:val="0"/>
          <w:sz w:val="24"/>
          <w:szCs w:val="24"/>
          <w:lang w:val="en-US"/>
          <w14:ligatures w14:val="none"/>
        </w:rPr>
        <w:t xml:space="preserve"> the collateral is received from a client for a derivative contract cleared by the bank on behalf of that </w:t>
      </w:r>
      <w:proofErr w:type="gramStart"/>
      <w:r w:rsidRPr="00983A96">
        <w:rPr>
          <w:rFonts w:ascii="Times New Roman" w:eastAsia="Calibri" w:hAnsi="Times New Roman" w:cs="Times New Roman"/>
          <w:kern w:val="0"/>
          <w:sz w:val="24"/>
          <w:szCs w:val="24"/>
          <w:lang w:val="en-US"/>
          <w14:ligatures w14:val="none"/>
        </w:rPr>
        <w:t>client;</w:t>
      </w:r>
      <w:proofErr w:type="gramEnd"/>
    </w:p>
    <w:p w14:paraId="03DA16B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0A53CF2"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41.2.</w:t>
      </w:r>
      <w:r w:rsidRPr="00983A96">
        <w:rPr>
          <w:rFonts w:ascii="Times New Roman" w:eastAsia="Calibri" w:hAnsi="Times New Roman" w:cs="Times New Roman"/>
          <w:kern w:val="0"/>
          <w:sz w:val="24"/>
          <w:szCs w:val="24"/>
          <w:lang w:val="en-US"/>
          <w14:ligatures w14:val="none"/>
        </w:rPr>
        <w:t xml:space="preserve"> the contract referred to in subparagraph 41.1 is cleared through a </w:t>
      </w:r>
      <w:proofErr w:type="gramStart"/>
      <w:r w:rsidRPr="00983A96">
        <w:rPr>
          <w:rFonts w:ascii="Times New Roman" w:eastAsia="Calibri" w:hAnsi="Times New Roman" w:cs="Times New Roman"/>
          <w:kern w:val="0"/>
          <w:sz w:val="24"/>
          <w:szCs w:val="24"/>
          <w:lang w:val="en-US"/>
          <w14:ligatures w14:val="none"/>
        </w:rPr>
        <w:t>QCCP;</w:t>
      </w:r>
      <w:proofErr w:type="gramEnd"/>
    </w:p>
    <w:p w14:paraId="3E1FF60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B2ECD93" w14:textId="7FEBCFB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41.3.</w:t>
      </w:r>
      <w:r w:rsidRPr="00983A96">
        <w:rPr>
          <w:rFonts w:ascii="Times New Roman" w:eastAsia="Calibri" w:hAnsi="Times New Roman" w:cs="Times New Roman"/>
          <w:kern w:val="0"/>
          <w:sz w:val="24"/>
          <w:szCs w:val="24"/>
          <w:lang w:val="en-US"/>
          <w14:ligatures w14:val="none"/>
        </w:rPr>
        <w:t xml:space="preserve"> where the collateral was received in the form of </w:t>
      </w:r>
      <w:r w:rsidR="00751A22" w:rsidRPr="00983A96">
        <w:rPr>
          <w:rFonts w:ascii="Times New Roman" w:eastAsia="Calibri" w:hAnsi="Times New Roman" w:cs="Times New Roman"/>
          <w:kern w:val="0"/>
          <w:sz w:val="24"/>
          <w:szCs w:val="24"/>
          <w:lang w:val="en-US"/>
          <w14:ligatures w14:val="none"/>
        </w:rPr>
        <w:t xml:space="preserve">initial </w:t>
      </w:r>
      <w:r w:rsidRPr="00983A96">
        <w:rPr>
          <w:rFonts w:ascii="Times New Roman" w:eastAsia="Calibri" w:hAnsi="Times New Roman" w:cs="Times New Roman"/>
          <w:kern w:val="0"/>
          <w:sz w:val="24"/>
          <w:szCs w:val="24"/>
          <w:lang w:val="en-US"/>
          <w14:ligatures w14:val="none"/>
        </w:rPr>
        <w:t xml:space="preserve">margin, </w:t>
      </w:r>
      <w:r w:rsidR="00751A22" w:rsidRPr="00983A96">
        <w:rPr>
          <w:rFonts w:ascii="Times New Roman" w:eastAsia="Calibri" w:hAnsi="Times New Roman" w:cs="Times New Roman"/>
          <w:kern w:val="0"/>
          <w:sz w:val="24"/>
          <w:szCs w:val="24"/>
          <w:lang w:val="en-US"/>
          <w14:ligatures w14:val="none"/>
        </w:rPr>
        <w:t xml:space="preserve">that collateral </w:t>
      </w:r>
      <w:r w:rsidRPr="00983A96">
        <w:rPr>
          <w:rFonts w:ascii="Times New Roman" w:eastAsia="Calibri" w:hAnsi="Times New Roman" w:cs="Times New Roman"/>
          <w:kern w:val="0"/>
          <w:sz w:val="24"/>
          <w:szCs w:val="24"/>
          <w:lang w:val="en-US"/>
          <w14:ligatures w14:val="none"/>
        </w:rPr>
        <w:t>is segregated from the assets</w:t>
      </w:r>
      <w:r w:rsidR="00751A22" w:rsidRPr="00983A96">
        <w:rPr>
          <w:rFonts w:ascii="Times New Roman" w:eastAsia="Calibri" w:hAnsi="Times New Roman" w:cs="Times New Roman"/>
          <w:kern w:val="0"/>
          <w:sz w:val="24"/>
          <w:szCs w:val="24"/>
          <w:lang w:val="en-US"/>
          <w14:ligatures w14:val="none"/>
        </w:rPr>
        <w:t xml:space="preserve"> of the bank</w:t>
      </w:r>
      <w:r w:rsidRPr="00983A96">
        <w:rPr>
          <w:rFonts w:ascii="Times New Roman" w:eastAsia="Calibri" w:hAnsi="Times New Roman" w:cs="Times New Roman"/>
          <w:kern w:val="0"/>
          <w:sz w:val="24"/>
          <w:szCs w:val="24"/>
          <w:lang w:val="en-US"/>
          <w14:ligatures w14:val="none"/>
        </w:rPr>
        <w:t>.</w:t>
      </w:r>
    </w:p>
    <w:p w14:paraId="7D91687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E61F5B3" w14:textId="7CDE7356"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42.</w:t>
      </w:r>
      <w:r w:rsidRPr="00983A96">
        <w:rPr>
          <w:rFonts w:ascii="Times New Roman" w:eastAsia="Calibri" w:hAnsi="Times New Roman" w:cs="Times New Roman"/>
          <w:kern w:val="0"/>
          <w:sz w:val="24"/>
          <w:szCs w:val="24"/>
          <w:lang w:val="en-US"/>
          <w14:ligatures w14:val="none"/>
        </w:rPr>
        <w:t xml:space="preserve"> For the purposes of paragraphs 32–34, banks shall </w:t>
      </w:r>
      <w:r w:rsidR="003845F3" w:rsidRPr="00983A96">
        <w:rPr>
          <w:rFonts w:ascii="Times New Roman" w:eastAsia="Calibri" w:hAnsi="Times New Roman" w:cs="Times New Roman"/>
          <w:kern w:val="0"/>
          <w:sz w:val="24"/>
          <w:szCs w:val="24"/>
          <w:lang w:val="en-US"/>
          <w14:ligatures w14:val="none"/>
        </w:rPr>
        <w:t>set the value of the</w:t>
      </w:r>
      <w:r w:rsidRPr="00983A96">
        <w:rPr>
          <w:rFonts w:ascii="Times New Roman" w:eastAsia="Calibri" w:hAnsi="Times New Roman" w:cs="Times New Roman"/>
          <w:kern w:val="0"/>
          <w:sz w:val="24"/>
          <w:szCs w:val="24"/>
          <w:lang w:val="en-US"/>
          <w14:ligatures w14:val="none"/>
        </w:rPr>
        <w:t xml:space="preserve"> multiplier </w:t>
      </w:r>
      <w:r w:rsidR="003845F3" w:rsidRPr="00983A96">
        <w:rPr>
          <w:rFonts w:ascii="Times New Roman" w:eastAsia="Calibri" w:hAnsi="Times New Roman" w:cs="Times New Roman"/>
          <w:kern w:val="0"/>
          <w:sz w:val="24"/>
          <w:szCs w:val="24"/>
          <w:lang w:val="en-US"/>
          <w14:ligatures w14:val="none"/>
        </w:rPr>
        <w:t xml:space="preserve">used in the calculation of </w:t>
      </w:r>
      <w:r w:rsidRPr="00983A96">
        <w:rPr>
          <w:rFonts w:ascii="Times New Roman" w:eastAsia="Calibri" w:hAnsi="Times New Roman" w:cs="Times New Roman"/>
          <w:kern w:val="0"/>
          <w:sz w:val="24"/>
          <w:szCs w:val="24"/>
          <w:lang w:val="en-US"/>
          <w14:ligatures w14:val="none"/>
        </w:rPr>
        <w:t xml:space="preserve">the potential future exposure in accordance with paragraph 66 of the Regulation No.220/2025, except in the case of derivative contracts </w:t>
      </w:r>
      <w:r w:rsidR="003845F3" w:rsidRPr="00983A96">
        <w:rPr>
          <w:rFonts w:ascii="Times New Roman" w:eastAsia="Calibri" w:hAnsi="Times New Roman" w:cs="Times New Roman"/>
          <w:kern w:val="0"/>
          <w:sz w:val="24"/>
          <w:szCs w:val="24"/>
          <w:lang w:val="en-US"/>
          <w14:ligatures w14:val="none"/>
        </w:rPr>
        <w:t xml:space="preserve">with clients where those contracts are </w:t>
      </w:r>
      <w:r w:rsidRPr="00983A96">
        <w:rPr>
          <w:rFonts w:ascii="Times New Roman" w:eastAsia="Calibri" w:hAnsi="Times New Roman" w:cs="Times New Roman"/>
          <w:kern w:val="0"/>
          <w:sz w:val="24"/>
          <w:szCs w:val="24"/>
          <w:lang w:val="en-US"/>
          <w14:ligatures w14:val="none"/>
        </w:rPr>
        <w:t>cleared by a QCCP.</w:t>
      </w:r>
    </w:p>
    <w:p w14:paraId="1F1BA4B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28B3F1A" w14:textId="7CFBA71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43.</w:t>
      </w:r>
      <w:r w:rsidRPr="00983A96">
        <w:rPr>
          <w:rFonts w:ascii="Times New Roman" w:eastAsia="Calibri" w:hAnsi="Times New Roman" w:cs="Times New Roman"/>
          <w:kern w:val="0"/>
          <w:sz w:val="24"/>
          <w:szCs w:val="24"/>
          <w:lang w:val="en-US"/>
          <w14:ligatures w14:val="none"/>
        </w:rPr>
        <w:t xml:space="preserve"> By way of derogation from paragraphs 32–34, banks may use the method set out in Chapter IV or V of the Regulation No.220/2025 to determine the exposure value of the following:</w:t>
      </w:r>
    </w:p>
    <w:p w14:paraId="33007F8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528D834" w14:textId="264E10B3"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43.1.</w:t>
      </w:r>
      <w:r w:rsidRPr="00983A96">
        <w:rPr>
          <w:rFonts w:ascii="Times New Roman" w:eastAsia="Calibri" w:hAnsi="Times New Roman" w:cs="Times New Roman"/>
          <w:kern w:val="0"/>
          <w:sz w:val="24"/>
          <w:szCs w:val="24"/>
          <w:lang w:val="en-US"/>
          <w14:ligatures w14:val="none"/>
        </w:rPr>
        <w:t xml:space="preserve"> derivative contracts listed in Annex No. 1 of Regulation No. 114/2018 and credit derivatives, </w:t>
      </w:r>
      <w:r w:rsidR="00E01609" w:rsidRPr="00983A96">
        <w:rPr>
          <w:rFonts w:ascii="Times New Roman" w:eastAsia="Calibri" w:hAnsi="Times New Roman" w:cs="Times New Roman"/>
          <w:kern w:val="0"/>
          <w:sz w:val="24"/>
          <w:szCs w:val="24"/>
          <w:lang w:val="en-US"/>
          <w14:ligatures w14:val="none"/>
        </w:rPr>
        <w:t>where they also use that</w:t>
      </w:r>
      <w:r w:rsidRPr="00983A96">
        <w:rPr>
          <w:rFonts w:ascii="Times New Roman" w:eastAsia="Calibri" w:hAnsi="Times New Roman" w:cs="Times New Roman"/>
          <w:kern w:val="0"/>
          <w:sz w:val="24"/>
          <w:szCs w:val="24"/>
          <w:lang w:val="en-US"/>
          <w14:ligatures w14:val="none"/>
        </w:rPr>
        <w:t xml:space="preserve"> method for </w:t>
      </w:r>
      <w:r w:rsidR="00E01609" w:rsidRPr="00983A96">
        <w:rPr>
          <w:rFonts w:ascii="Times New Roman" w:eastAsia="Calibri" w:hAnsi="Times New Roman" w:cs="Times New Roman"/>
          <w:kern w:val="0"/>
          <w:sz w:val="24"/>
          <w:szCs w:val="24"/>
          <w:lang w:val="en-US"/>
          <w14:ligatures w14:val="none"/>
        </w:rPr>
        <w:t xml:space="preserve">determining </w:t>
      </w:r>
      <w:r w:rsidRPr="00983A96">
        <w:rPr>
          <w:rFonts w:ascii="Times New Roman" w:eastAsia="Calibri" w:hAnsi="Times New Roman" w:cs="Times New Roman"/>
          <w:kern w:val="0"/>
          <w:sz w:val="24"/>
          <w:szCs w:val="24"/>
          <w:lang w:val="en-US"/>
          <w14:ligatures w14:val="none"/>
        </w:rPr>
        <w:t>the exposure value of those contracts for the purpose</w:t>
      </w:r>
      <w:r w:rsidR="00E01609"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of meeting the own funds requirements laid down in subparagraphs 1), 2), and 3) of paragraph 130 of Regulation No. </w:t>
      </w:r>
      <w:proofErr w:type="gramStart"/>
      <w:r w:rsidRPr="00983A96">
        <w:rPr>
          <w:rFonts w:ascii="Times New Roman" w:eastAsia="Calibri" w:hAnsi="Times New Roman" w:cs="Times New Roman"/>
          <w:kern w:val="0"/>
          <w:sz w:val="24"/>
          <w:szCs w:val="24"/>
          <w:lang w:val="en-US"/>
          <w14:ligatures w14:val="none"/>
        </w:rPr>
        <w:t>109/2018;</w:t>
      </w:r>
      <w:proofErr w:type="gramEnd"/>
    </w:p>
    <w:p w14:paraId="7AFB06E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B45893E" w14:textId="4203243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43.2.</w:t>
      </w:r>
      <w:r w:rsidRPr="00983A96">
        <w:rPr>
          <w:rFonts w:ascii="Times New Roman" w:eastAsia="Calibri" w:hAnsi="Times New Roman" w:cs="Times New Roman"/>
          <w:kern w:val="0"/>
          <w:sz w:val="24"/>
          <w:szCs w:val="24"/>
          <w:lang w:val="en-US"/>
          <w14:ligatures w14:val="none"/>
        </w:rPr>
        <w:t xml:space="preserve"> credit derivatives to which</w:t>
      </w:r>
      <w:r w:rsidR="00E01609" w:rsidRPr="00983A96">
        <w:rPr>
          <w:rFonts w:ascii="Times New Roman" w:eastAsia="Calibri" w:hAnsi="Times New Roman" w:cs="Times New Roman"/>
          <w:kern w:val="0"/>
          <w:sz w:val="24"/>
          <w:szCs w:val="24"/>
          <w:lang w:val="en-US"/>
          <w14:ligatures w14:val="none"/>
        </w:rPr>
        <w:t xml:space="preserve"> they apply</w:t>
      </w:r>
      <w:r w:rsidRPr="00983A96">
        <w:rPr>
          <w:rFonts w:ascii="Times New Roman" w:eastAsia="Calibri" w:hAnsi="Times New Roman" w:cs="Times New Roman"/>
          <w:kern w:val="0"/>
          <w:sz w:val="24"/>
          <w:szCs w:val="24"/>
          <w:lang w:val="en-US"/>
          <w14:ligatures w14:val="none"/>
        </w:rPr>
        <w:t xml:space="preserve"> the treatment </w:t>
      </w:r>
      <w:r w:rsidR="00E01609" w:rsidRPr="00983A96">
        <w:rPr>
          <w:rFonts w:ascii="Times New Roman" w:eastAsia="Calibri" w:hAnsi="Times New Roman" w:cs="Times New Roman"/>
          <w:kern w:val="0"/>
          <w:sz w:val="24"/>
          <w:szCs w:val="24"/>
          <w:lang w:val="en-US"/>
          <w14:ligatures w14:val="none"/>
        </w:rPr>
        <w:t xml:space="preserve">set out </w:t>
      </w:r>
      <w:r w:rsidRPr="00983A96">
        <w:rPr>
          <w:rFonts w:ascii="Times New Roman" w:eastAsia="Calibri" w:hAnsi="Times New Roman" w:cs="Times New Roman"/>
          <w:kern w:val="0"/>
          <w:sz w:val="24"/>
          <w:szCs w:val="24"/>
          <w:lang w:val="en-US"/>
          <w14:ligatures w14:val="none"/>
        </w:rPr>
        <w:t xml:space="preserve">in paragraph 10 or 12 of the Regulation No.220/2025 is, </w:t>
      </w:r>
      <w:r w:rsidR="00E01609" w:rsidRPr="00983A96">
        <w:rPr>
          <w:rFonts w:ascii="Times New Roman" w:eastAsia="Calibri" w:hAnsi="Times New Roman" w:cs="Times New Roman"/>
          <w:kern w:val="0"/>
          <w:sz w:val="24"/>
          <w:szCs w:val="24"/>
          <w:lang w:val="en-US"/>
          <w14:ligatures w14:val="none"/>
        </w:rPr>
        <w:t xml:space="preserve">where </w:t>
      </w:r>
      <w:r w:rsidRPr="00983A96">
        <w:rPr>
          <w:rFonts w:ascii="Times New Roman" w:eastAsia="Calibri" w:hAnsi="Times New Roman" w:cs="Times New Roman"/>
          <w:kern w:val="0"/>
          <w:sz w:val="24"/>
          <w:szCs w:val="24"/>
          <w:lang w:val="en-US"/>
          <w14:ligatures w14:val="none"/>
        </w:rPr>
        <w:t xml:space="preserve">the conditions </w:t>
      </w:r>
      <w:r w:rsidR="00E01609" w:rsidRPr="00983A96">
        <w:rPr>
          <w:rFonts w:ascii="Times New Roman" w:eastAsia="Calibri" w:hAnsi="Times New Roman" w:cs="Times New Roman"/>
          <w:kern w:val="0"/>
          <w:sz w:val="24"/>
          <w:szCs w:val="24"/>
          <w:lang w:val="en-US"/>
          <w14:ligatures w14:val="none"/>
        </w:rPr>
        <w:t>to use</w:t>
      </w:r>
      <w:r w:rsidRPr="00983A96">
        <w:rPr>
          <w:rFonts w:ascii="Times New Roman" w:eastAsia="Calibri" w:hAnsi="Times New Roman" w:cs="Times New Roman"/>
          <w:kern w:val="0"/>
          <w:sz w:val="24"/>
          <w:szCs w:val="24"/>
          <w:lang w:val="en-US"/>
          <w14:ligatures w14:val="none"/>
        </w:rPr>
        <w:t xml:space="preserve"> that method </w:t>
      </w:r>
      <w:r w:rsidR="00E01609" w:rsidRPr="00983A96">
        <w:rPr>
          <w:rFonts w:ascii="Times New Roman" w:eastAsia="Calibri" w:hAnsi="Times New Roman" w:cs="Times New Roman"/>
          <w:kern w:val="0"/>
          <w:sz w:val="24"/>
          <w:szCs w:val="24"/>
          <w:lang w:val="en-US"/>
          <w14:ligatures w14:val="none"/>
        </w:rPr>
        <w:t xml:space="preserve">are </w:t>
      </w:r>
      <w:r w:rsidRPr="00983A96">
        <w:rPr>
          <w:rFonts w:ascii="Times New Roman" w:eastAsia="Calibri" w:hAnsi="Times New Roman" w:cs="Times New Roman"/>
          <w:kern w:val="0"/>
          <w:sz w:val="24"/>
          <w:szCs w:val="24"/>
          <w:lang w:val="en-US"/>
          <w14:ligatures w14:val="none"/>
        </w:rPr>
        <w:t>met.</w:t>
      </w:r>
    </w:p>
    <w:p w14:paraId="05AECC98" w14:textId="77777777" w:rsidR="00CC0A57" w:rsidRPr="00983A96" w:rsidRDefault="00CC0A57" w:rsidP="00CC0A57">
      <w:pPr>
        <w:spacing w:after="0" w:line="240" w:lineRule="auto"/>
        <w:jc w:val="both"/>
        <w:rPr>
          <w:rFonts w:ascii="Times New Roman" w:eastAsia="Calibri" w:hAnsi="Times New Roman" w:cs="Times New Roman"/>
          <w:b/>
          <w:bCs/>
          <w:kern w:val="0"/>
          <w:sz w:val="24"/>
          <w:szCs w:val="24"/>
          <w:lang w:val="en-US"/>
          <w14:ligatures w14:val="none"/>
        </w:rPr>
      </w:pPr>
    </w:p>
    <w:p w14:paraId="1DEB981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44.</w:t>
      </w:r>
      <w:r w:rsidRPr="00983A96">
        <w:rPr>
          <w:rFonts w:ascii="Times New Roman" w:eastAsia="Calibri" w:hAnsi="Times New Roman" w:cs="Times New Roman"/>
          <w:kern w:val="0"/>
          <w:sz w:val="24"/>
          <w:szCs w:val="24"/>
          <w:lang w:val="en-US"/>
          <w14:ligatures w14:val="none"/>
        </w:rPr>
        <w:t xml:space="preserve"> Where the banks apply one of the methods referred to in paragraph 43, they shall not reduce the total exposure measure by the amount of margin they have received.</w:t>
      </w:r>
    </w:p>
    <w:p w14:paraId="723799E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A17248E"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6 – Additional provisions on the calculation of the exposure value of written credit derivatives</w:t>
      </w:r>
    </w:p>
    <w:p w14:paraId="44E230EE"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47BF008" w14:textId="46F6AD1E"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45.</w:t>
      </w:r>
      <w:r w:rsidRPr="00983A96">
        <w:rPr>
          <w:rFonts w:ascii="Times New Roman" w:eastAsia="Calibri" w:hAnsi="Times New Roman" w:cs="Times New Roman"/>
          <w:kern w:val="0"/>
          <w:sz w:val="24"/>
          <w:szCs w:val="24"/>
          <w:lang w:val="en-US"/>
          <w14:ligatures w14:val="none"/>
        </w:rPr>
        <w:t xml:space="preserve"> For the purposes of this Section, </w:t>
      </w:r>
      <w:proofErr w:type="gramStart"/>
      <w:r w:rsidRPr="00983A96">
        <w:rPr>
          <w:rFonts w:ascii="Times New Roman" w:eastAsia="Calibri" w:hAnsi="Times New Roman" w:cs="Times New Roman"/>
          <w:kern w:val="0"/>
          <w:sz w:val="24"/>
          <w:szCs w:val="24"/>
          <w:lang w:val="en-US"/>
          <w14:ligatures w14:val="none"/>
        </w:rPr>
        <w:t>a</w:t>
      </w:r>
      <w:r w:rsid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”written</w:t>
      </w:r>
      <w:proofErr w:type="gramEnd"/>
      <w:r w:rsidRPr="00983A96">
        <w:rPr>
          <w:rFonts w:ascii="Times New Roman" w:eastAsia="Calibri" w:hAnsi="Times New Roman" w:cs="Times New Roman"/>
          <w:kern w:val="0"/>
          <w:sz w:val="24"/>
          <w:szCs w:val="24"/>
          <w:lang w:val="en-US"/>
          <w14:ligatures w14:val="none"/>
        </w:rPr>
        <w:t xml:space="preserve"> credit derivative” means any financial instrument through which a bank effectively provides credit protection, including credit default swaps, total return swaps and options where the bank has the obligation to provide credit protection under conditions specified in the options contract.</w:t>
      </w:r>
    </w:p>
    <w:p w14:paraId="11B4270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749A290" w14:textId="0FF11595"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46.</w:t>
      </w:r>
      <w:r w:rsidRPr="00983A96">
        <w:rPr>
          <w:rFonts w:ascii="Times New Roman" w:eastAsia="Calibri" w:hAnsi="Times New Roman" w:cs="Times New Roman"/>
          <w:kern w:val="0"/>
          <w:sz w:val="24"/>
          <w:szCs w:val="24"/>
          <w:lang w:val="en-US"/>
          <w14:ligatures w14:val="none"/>
        </w:rPr>
        <w:t xml:space="preserve"> In addition to the calculation laid down in Section 5, banks shall include in the calculation of the exposure value </w:t>
      </w:r>
      <w:r w:rsidR="00E01609" w:rsidRPr="00983A96">
        <w:rPr>
          <w:rFonts w:ascii="Times New Roman" w:eastAsia="Calibri" w:hAnsi="Times New Roman" w:cs="Times New Roman"/>
          <w:kern w:val="0"/>
          <w:sz w:val="24"/>
          <w:szCs w:val="24"/>
          <w:lang w:val="en-US"/>
          <w14:ligatures w14:val="none"/>
        </w:rPr>
        <w:t xml:space="preserve">of </w:t>
      </w:r>
      <w:r w:rsidRPr="00983A96">
        <w:rPr>
          <w:rFonts w:ascii="Times New Roman" w:eastAsia="Calibri" w:hAnsi="Times New Roman" w:cs="Times New Roman"/>
          <w:kern w:val="0"/>
          <w:sz w:val="24"/>
          <w:szCs w:val="24"/>
          <w:lang w:val="en-US"/>
          <w14:ligatures w14:val="none"/>
        </w:rPr>
        <w:t xml:space="preserve">written credit derivatives the effective notional amounts </w:t>
      </w:r>
      <w:r w:rsidR="00E01609" w:rsidRPr="00983A96">
        <w:rPr>
          <w:rFonts w:ascii="Times New Roman" w:eastAsia="Calibri" w:hAnsi="Times New Roman" w:cs="Times New Roman"/>
          <w:kern w:val="0"/>
          <w:sz w:val="24"/>
          <w:szCs w:val="24"/>
          <w:lang w:val="en-US"/>
          <w14:ligatures w14:val="none"/>
        </w:rPr>
        <w:t xml:space="preserve">referenced </w:t>
      </w:r>
      <w:r w:rsidRPr="00983A96">
        <w:rPr>
          <w:rFonts w:ascii="Times New Roman" w:eastAsia="Calibri" w:hAnsi="Times New Roman" w:cs="Times New Roman"/>
          <w:kern w:val="0"/>
          <w:sz w:val="24"/>
          <w:szCs w:val="24"/>
          <w:lang w:val="en-US"/>
          <w14:ligatures w14:val="none"/>
        </w:rPr>
        <w:t>in the written credit derivatives reduced by any negative fair value changes that have been incorporated in Tier 1 capital with respect to those written credit derivatives.</w:t>
      </w:r>
    </w:p>
    <w:p w14:paraId="6EEE4D8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721C88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47.</w:t>
      </w:r>
      <w:r w:rsidRPr="00983A96">
        <w:rPr>
          <w:rFonts w:ascii="Times New Roman" w:eastAsia="Calibri" w:hAnsi="Times New Roman" w:cs="Times New Roman"/>
          <w:kern w:val="0"/>
          <w:sz w:val="24"/>
          <w:szCs w:val="24"/>
          <w:lang w:val="en-US"/>
          <w14:ligatures w14:val="none"/>
        </w:rPr>
        <w:t xml:space="preserve"> Banks shall calculate the effective notional amount of written credit derivatives by adjusting the notional amount of those derivatives to reflect the true exposure of contracts that are leveraged or otherwise enhanced by the structure of transaction.</w:t>
      </w:r>
    </w:p>
    <w:p w14:paraId="7616C6C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2D46AB3"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48.</w:t>
      </w:r>
      <w:r w:rsidRPr="00983A96">
        <w:rPr>
          <w:rFonts w:ascii="Times New Roman" w:eastAsia="Calibri" w:hAnsi="Times New Roman" w:cs="Times New Roman"/>
          <w:kern w:val="0"/>
          <w:sz w:val="24"/>
          <w:szCs w:val="24"/>
          <w:lang w:val="en-US"/>
          <w14:ligatures w14:val="none"/>
        </w:rPr>
        <w:t xml:space="preserve"> Banks may fully or partly reduce the exposure value calculated in accordance with paragraphs 46 and 47 the effective notional amount of purchased credit derivatives, provided that all the following conditions are met:</w:t>
      </w:r>
    </w:p>
    <w:p w14:paraId="0A0E4E0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61D49685"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48.1.</w:t>
      </w:r>
      <w:r w:rsidRPr="00983A96">
        <w:rPr>
          <w:rFonts w:ascii="Times New Roman" w:eastAsia="Calibri" w:hAnsi="Times New Roman" w:cs="Times New Roman"/>
          <w:kern w:val="0"/>
          <w:sz w:val="24"/>
          <w:szCs w:val="24"/>
          <w:lang w:val="en-US"/>
          <w14:ligatures w14:val="none"/>
        </w:rPr>
        <w:t xml:space="preserve"> the remaining maturity of the purchased credit derivative is equal to or greater than the remaining maturity of the written credit </w:t>
      </w:r>
      <w:proofErr w:type="gramStart"/>
      <w:r w:rsidRPr="00983A96">
        <w:rPr>
          <w:rFonts w:ascii="Times New Roman" w:eastAsia="Calibri" w:hAnsi="Times New Roman" w:cs="Times New Roman"/>
          <w:kern w:val="0"/>
          <w:sz w:val="24"/>
          <w:szCs w:val="24"/>
          <w:lang w:val="en-US"/>
          <w14:ligatures w14:val="none"/>
        </w:rPr>
        <w:t>derivative;</w:t>
      </w:r>
      <w:proofErr w:type="gramEnd"/>
    </w:p>
    <w:p w14:paraId="339F51B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20DEA4A" w14:textId="2ED59BC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48.2.</w:t>
      </w:r>
      <w:r w:rsidRPr="00983A96">
        <w:rPr>
          <w:rFonts w:ascii="Times New Roman" w:eastAsia="Calibri" w:hAnsi="Times New Roman" w:cs="Times New Roman"/>
          <w:kern w:val="0"/>
          <w:sz w:val="24"/>
          <w:szCs w:val="24"/>
          <w:lang w:val="en-US"/>
          <w14:ligatures w14:val="none"/>
        </w:rPr>
        <w:t xml:space="preserve"> the purchased credit derivative is otherwise subject to the same or more conservative material terms </w:t>
      </w:r>
      <w:r w:rsidR="003C4CEC" w:rsidRPr="00983A96">
        <w:rPr>
          <w:rFonts w:ascii="Times New Roman" w:eastAsia="Calibri" w:hAnsi="Times New Roman" w:cs="Times New Roman"/>
          <w:kern w:val="0"/>
          <w:sz w:val="24"/>
          <w:szCs w:val="24"/>
          <w:lang w:val="en-US"/>
          <w14:ligatures w14:val="none"/>
        </w:rPr>
        <w:t xml:space="preserve">as </w:t>
      </w:r>
      <w:r w:rsidRPr="00983A96">
        <w:rPr>
          <w:rFonts w:ascii="Times New Roman" w:eastAsia="Calibri" w:hAnsi="Times New Roman" w:cs="Times New Roman"/>
          <w:kern w:val="0"/>
          <w:sz w:val="24"/>
          <w:szCs w:val="24"/>
          <w:lang w:val="en-US"/>
          <w14:ligatures w14:val="none"/>
        </w:rPr>
        <w:t xml:space="preserve">those of the corresponding written credit </w:t>
      </w:r>
      <w:proofErr w:type="gramStart"/>
      <w:r w:rsidRPr="00983A96">
        <w:rPr>
          <w:rFonts w:ascii="Times New Roman" w:eastAsia="Calibri" w:hAnsi="Times New Roman" w:cs="Times New Roman"/>
          <w:kern w:val="0"/>
          <w:sz w:val="24"/>
          <w:szCs w:val="24"/>
          <w:lang w:val="en-US"/>
          <w14:ligatures w14:val="none"/>
        </w:rPr>
        <w:t>derivative;</w:t>
      </w:r>
      <w:proofErr w:type="gramEnd"/>
    </w:p>
    <w:p w14:paraId="6AE1DD7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5F9199B" w14:textId="53C68A18"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48.3.</w:t>
      </w:r>
      <w:r w:rsidRPr="00983A96">
        <w:rPr>
          <w:rFonts w:ascii="Times New Roman" w:eastAsia="Calibri" w:hAnsi="Times New Roman" w:cs="Times New Roman"/>
          <w:kern w:val="0"/>
          <w:sz w:val="24"/>
          <w:szCs w:val="24"/>
          <w:lang w:val="en-US"/>
          <w14:ligatures w14:val="none"/>
        </w:rPr>
        <w:t xml:space="preserve"> where the effective notional amount of the written credit derivative is reduced by any negative change in fair value incorporated in</w:t>
      </w:r>
      <w:r w:rsidR="00FC0DE3" w:rsidRPr="00983A96">
        <w:rPr>
          <w:rFonts w:ascii="Times New Roman" w:eastAsia="Calibri" w:hAnsi="Times New Roman" w:cs="Times New Roman"/>
          <w:kern w:val="0"/>
          <w:sz w:val="24"/>
          <w:szCs w:val="24"/>
          <w:lang w:val="en-US"/>
          <w14:ligatures w14:val="none"/>
        </w:rPr>
        <w:t xml:space="preserve"> the bank’s</w:t>
      </w:r>
      <w:r w:rsidRPr="00983A96">
        <w:rPr>
          <w:rFonts w:ascii="Times New Roman" w:eastAsia="Calibri" w:hAnsi="Times New Roman" w:cs="Times New Roman"/>
          <w:kern w:val="0"/>
          <w:sz w:val="24"/>
          <w:szCs w:val="24"/>
          <w:lang w:val="en-US"/>
          <w14:ligatures w14:val="none"/>
        </w:rPr>
        <w:t xml:space="preserve"> Tier 1 capital, the effective notional amount of the purchased credit derivative is reduced by any positive fair value change that has been incorporated in Tier 1 </w:t>
      </w:r>
      <w:proofErr w:type="gramStart"/>
      <w:r w:rsidRPr="00983A96">
        <w:rPr>
          <w:rFonts w:ascii="Times New Roman" w:eastAsia="Calibri" w:hAnsi="Times New Roman" w:cs="Times New Roman"/>
          <w:kern w:val="0"/>
          <w:sz w:val="24"/>
          <w:szCs w:val="24"/>
          <w:lang w:val="en-US"/>
          <w14:ligatures w14:val="none"/>
        </w:rPr>
        <w:t>capital;</w:t>
      </w:r>
      <w:proofErr w:type="gramEnd"/>
    </w:p>
    <w:p w14:paraId="7058534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77EDFE0" w14:textId="4F097625"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48.4.</w:t>
      </w:r>
      <w:r w:rsidRPr="00983A96">
        <w:rPr>
          <w:rFonts w:ascii="Times New Roman" w:eastAsia="Calibri" w:hAnsi="Times New Roman" w:cs="Times New Roman"/>
          <w:kern w:val="0"/>
          <w:sz w:val="24"/>
          <w:szCs w:val="24"/>
          <w:lang w:val="en-US"/>
          <w14:ligatures w14:val="none"/>
        </w:rPr>
        <w:t xml:space="preserve"> the purchased credit derivative is not included in a transaction that has been cleared by the </w:t>
      </w:r>
      <w:r w:rsidR="00243C52" w:rsidRPr="00983A96">
        <w:rPr>
          <w:rFonts w:ascii="Times New Roman" w:eastAsia="Calibri" w:hAnsi="Times New Roman" w:cs="Times New Roman"/>
          <w:kern w:val="0"/>
          <w:sz w:val="24"/>
          <w:szCs w:val="24"/>
          <w:lang w:val="en-US"/>
          <w14:ligatures w14:val="none"/>
        </w:rPr>
        <w:t xml:space="preserve">bank </w:t>
      </w:r>
      <w:r w:rsidRPr="00983A96">
        <w:rPr>
          <w:rFonts w:ascii="Times New Roman" w:eastAsia="Calibri" w:hAnsi="Times New Roman" w:cs="Times New Roman"/>
          <w:kern w:val="0"/>
          <w:sz w:val="24"/>
          <w:szCs w:val="24"/>
          <w:lang w:val="en-US"/>
          <w14:ligatures w14:val="none"/>
        </w:rPr>
        <w:t xml:space="preserve">on behalf of a client or that has been cleared by the </w:t>
      </w:r>
      <w:r w:rsidR="00243C52" w:rsidRPr="00983A96">
        <w:rPr>
          <w:rFonts w:ascii="Times New Roman" w:eastAsia="Calibri" w:hAnsi="Times New Roman" w:cs="Times New Roman"/>
          <w:kern w:val="0"/>
          <w:sz w:val="24"/>
          <w:szCs w:val="24"/>
          <w:lang w:val="en-US"/>
          <w14:ligatures w14:val="none"/>
        </w:rPr>
        <w:t xml:space="preserve">bank </w:t>
      </w:r>
      <w:r w:rsidRPr="00983A96">
        <w:rPr>
          <w:rFonts w:ascii="Times New Roman" w:eastAsia="Calibri" w:hAnsi="Times New Roman" w:cs="Times New Roman"/>
          <w:kern w:val="0"/>
          <w:sz w:val="24"/>
          <w:szCs w:val="24"/>
          <w:lang w:val="en-US"/>
          <w14:ligatures w14:val="none"/>
        </w:rPr>
        <w:t xml:space="preserve">in its role as a higher-level client in a multi-level client structure and for which the effective notional amount referenced by the corresponding written credit derivative is excluded from the total exposure measure </w:t>
      </w:r>
      <w:r w:rsidR="00243C52" w:rsidRPr="00983A96">
        <w:rPr>
          <w:rFonts w:ascii="Times New Roman" w:eastAsia="Calibri" w:hAnsi="Times New Roman" w:cs="Times New Roman"/>
          <w:kern w:val="0"/>
          <w:sz w:val="24"/>
          <w:szCs w:val="24"/>
          <w:lang w:val="en-US"/>
          <w14:ligatures w14:val="none"/>
        </w:rPr>
        <w:t xml:space="preserve">in accordance with </w:t>
      </w:r>
      <w:r w:rsidRPr="00983A96">
        <w:rPr>
          <w:rFonts w:ascii="Times New Roman" w:eastAsia="Calibri" w:hAnsi="Times New Roman" w:cs="Times New Roman"/>
          <w:kern w:val="0"/>
          <w:sz w:val="24"/>
          <w:szCs w:val="24"/>
          <w:lang w:val="en-US"/>
          <w14:ligatures w14:val="none"/>
        </w:rPr>
        <w:t>subparagraphs 19.4 or 19.5, as applicable.</w:t>
      </w:r>
    </w:p>
    <w:p w14:paraId="295F403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62F150F" w14:textId="3906468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49.</w:t>
      </w:r>
      <w:r w:rsidRPr="00983A96">
        <w:rPr>
          <w:rFonts w:ascii="Times New Roman" w:eastAsia="Calibri" w:hAnsi="Times New Roman" w:cs="Times New Roman"/>
          <w:kern w:val="0"/>
          <w:sz w:val="24"/>
          <w:szCs w:val="24"/>
          <w:lang w:val="en-US"/>
          <w14:ligatures w14:val="none"/>
        </w:rPr>
        <w:t xml:space="preserve"> For the purposes of calculating potential future exposure </w:t>
      </w:r>
      <w:r w:rsidR="00243C52" w:rsidRPr="00983A96">
        <w:rPr>
          <w:rFonts w:ascii="Times New Roman" w:eastAsia="Calibri" w:hAnsi="Times New Roman" w:cs="Times New Roman"/>
          <w:kern w:val="0"/>
          <w:sz w:val="24"/>
          <w:szCs w:val="24"/>
          <w:lang w:val="en-US"/>
          <w14:ligatures w14:val="none"/>
        </w:rPr>
        <w:t xml:space="preserve">in accordance with </w:t>
      </w:r>
      <w:r w:rsidRPr="00983A96">
        <w:rPr>
          <w:rFonts w:ascii="Times New Roman" w:eastAsia="Calibri" w:hAnsi="Times New Roman" w:cs="Times New Roman"/>
          <w:kern w:val="0"/>
          <w:sz w:val="24"/>
          <w:szCs w:val="24"/>
          <w:lang w:val="en-US"/>
          <w14:ligatures w14:val="none"/>
        </w:rPr>
        <w:t>paragraphs 32–34, banks may exclude from the netting set the portion of a written credit derivative which is not offset in accordance with paragraph 48 and for which the effective notional amount is included in the total exposure measure.</w:t>
      </w:r>
    </w:p>
    <w:p w14:paraId="1747B831"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571FE2D" w14:textId="40CB8D4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50.</w:t>
      </w:r>
      <w:r w:rsidRPr="00983A96">
        <w:rPr>
          <w:rFonts w:ascii="Times New Roman" w:eastAsia="Calibri" w:hAnsi="Times New Roman" w:cs="Times New Roman"/>
          <w:kern w:val="0"/>
          <w:sz w:val="24"/>
          <w:szCs w:val="24"/>
          <w:lang w:val="en-US"/>
          <w14:ligatures w14:val="none"/>
        </w:rPr>
        <w:t xml:space="preserve"> For the purposes of subparagraph 48.2</w:t>
      </w:r>
      <w:proofErr w:type="gramStart"/>
      <w:r w:rsidRPr="00983A96">
        <w:rPr>
          <w:rFonts w:ascii="Times New Roman" w:eastAsia="Calibri" w:hAnsi="Times New Roman" w:cs="Times New Roman"/>
          <w:kern w:val="0"/>
          <w:sz w:val="24"/>
          <w:szCs w:val="24"/>
          <w:lang w:val="en-US"/>
          <w14:ligatures w14:val="none"/>
        </w:rPr>
        <w:t>, ”material</w:t>
      </w:r>
      <w:proofErr w:type="gramEnd"/>
      <w:r w:rsidRPr="00983A96">
        <w:rPr>
          <w:rFonts w:ascii="Times New Roman" w:eastAsia="Calibri" w:hAnsi="Times New Roman" w:cs="Times New Roman"/>
          <w:kern w:val="0"/>
          <w:sz w:val="24"/>
          <w:szCs w:val="24"/>
          <w:lang w:val="en-US"/>
          <w14:ligatures w14:val="none"/>
        </w:rPr>
        <w:t xml:space="preserve"> term” means any characteristic of the credit derivative that is relevant to the valuation thereof, including the level of subordination, the optionality, the credit events, the underlying reference entity or pool of entities, and the underlying reference obligation or pool of obligations, with the exception of the notional amount and the residual maturity of the credit derivative. Two reference names shall be the same only where they refer to the same legal entity.</w:t>
      </w:r>
    </w:p>
    <w:p w14:paraId="7130DE09"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AC2E95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51.</w:t>
      </w:r>
      <w:r w:rsidRPr="00983A96">
        <w:rPr>
          <w:rFonts w:ascii="Times New Roman" w:eastAsia="Calibri" w:hAnsi="Times New Roman" w:cs="Times New Roman"/>
          <w:kern w:val="0"/>
          <w:sz w:val="24"/>
          <w:szCs w:val="24"/>
          <w:lang w:val="en-US"/>
          <w14:ligatures w14:val="none"/>
        </w:rPr>
        <w:t xml:space="preserve"> By way of derogation from subparagraph 48.2, banks may use purchased credit derivatives on a pool of reference names to offset written credit derivatives on individual reference names within that pool where the pool of reference entities and the level of subordination in both transactions are the same.</w:t>
      </w:r>
    </w:p>
    <w:p w14:paraId="227F9CC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4AE7236"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52.</w:t>
      </w:r>
      <w:r w:rsidRPr="00983A96">
        <w:rPr>
          <w:rFonts w:ascii="Times New Roman" w:eastAsia="Calibri" w:hAnsi="Times New Roman" w:cs="Times New Roman"/>
          <w:kern w:val="0"/>
          <w:sz w:val="24"/>
          <w:szCs w:val="24"/>
          <w:lang w:val="en-US"/>
          <w14:ligatures w14:val="none"/>
        </w:rPr>
        <w:t xml:space="preserve"> Banks shall not reduce the effective notional amount of written credit derivatives where they buy credit protection through a total return swap and record the net payments received as net income, but do not record any offsetting deterioration in the value of the written credit derivative in Tier 1 capital.</w:t>
      </w:r>
    </w:p>
    <w:p w14:paraId="0360350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CDECB86" w14:textId="5BF751B4"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53.</w:t>
      </w:r>
      <w:r w:rsidRPr="00983A96">
        <w:rPr>
          <w:rFonts w:ascii="Times New Roman" w:eastAsia="Calibri" w:hAnsi="Times New Roman" w:cs="Times New Roman"/>
          <w:kern w:val="0"/>
          <w:sz w:val="24"/>
          <w:szCs w:val="24"/>
          <w:lang w:val="en-US"/>
          <w14:ligatures w14:val="none"/>
        </w:rPr>
        <w:t xml:space="preserve"> In the case of purchased credit derivatives on a pool of reference obligations, </w:t>
      </w:r>
      <w:r w:rsidR="00353023" w:rsidRPr="00983A96">
        <w:rPr>
          <w:rFonts w:ascii="Times New Roman" w:eastAsia="Calibri" w:hAnsi="Times New Roman" w:cs="Times New Roman"/>
          <w:kern w:val="0"/>
          <w:sz w:val="24"/>
          <w:szCs w:val="24"/>
          <w:lang w:val="en-US"/>
          <w14:ligatures w14:val="none"/>
        </w:rPr>
        <w:t xml:space="preserve">banks </w:t>
      </w:r>
      <w:r w:rsidRPr="00983A96">
        <w:rPr>
          <w:rFonts w:ascii="Times New Roman" w:eastAsia="Calibri" w:hAnsi="Times New Roman" w:cs="Times New Roman"/>
          <w:kern w:val="0"/>
          <w:sz w:val="24"/>
          <w:szCs w:val="24"/>
          <w:lang w:val="en-US"/>
          <w14:ligatures w14:val="none"/>
        </w:rPr>
        <w:t>may reduce the effective notional amount of written credit derivatives on individual reference obligations by the effective notional amount of purchased credit derivatives in accordance with paragraphs 48 and 49 only where the protection purchased is economically equivalent to buying protection separately on each of the individual obligations in the pool.</w:t>
      </w:r>
    </w:p>
    <w:p w14:paraId="2A328AD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004B4DD"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7 – Counterparty credit risk add-on for securities financing transactions</w:t>
      </w:r>
    </w:p>
    <w:p w14:paraId="7F9B77E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A547978"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54.</w:t>
      </w:r>
      <w:r w:rsidRPr="00983A96">
        <w:rPr>
          <w:rFonts w:ascii="Times New Roman" w:eastAsia="Calibri" w:hAnsi="Times New Roman" w:cs="Times New Roman"/>
          <w:kern w:val="0"/>
          <w:sz w:val="24"/>
          <w:szCs w:val="24"/>
          <w:lang w:val="en-US"/>
          <w14:ligatures w14:val="none"/>
        </w:rPr>
        <w:t xml:space="preserve"> In addition to the calculation of the exposure value of securities financing transactions, including those that are off-balance-sheet in accordance with paragraph 24, banks shall include in the total exposure measure an add-on for counterparty credit risk calculated in accordance with paragraph 55 or 56, as applicable.</w:t>
      </w:r>
    </w:p>
    <w:p w14:paraId="65C4B74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6B6F71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55.</w:t>
      </w:r>
      <w:r w:rsidRPr="00983A96">
        <w:rPr>
          <w:rFonts w:ascii="Times New Roman" w:eastAsia="Calibri" w:hAnsi="Times New Roman" w:cs="Times New Roman"/>
          <w:kern w:val="0"/>
          <w:sz w:val="24"/>
          <w:szCs w:val="24"/>
          <w:lang w:val="en-US"/>
          <w14:ligatures w14:val="none"/>
        </w:rPr>
        <w:t xml:space="preserve"> Banks shall calculate the add-on for transactions with a counterparty that are not subject to a master netting agreement that meets the conditions set out in paragraph 43 of Regulation No. 112/2018, on a transaction-by-transaction basis, using the following formula:</w:t>
      </w:r>
    </w:p>
    <w:p w14:paraId="74328D0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258B3D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Times New Roman" w:hAnsi="Times New Roman" w:cs="Times New Roman"/>
          <w:bCs/>
          <w:noProof/>
          <w:kern w:val="0"/>
          <w:sz w:val="24"/>
          <w:szCs w:val="24"/>
          <w:lang w:val="en-US" w:eastAsia="ro-MD"/>
          <w14:ligatures w14:val="none"/>
        </w:rPr>
        <w:drawing>
          <wp:inline distT="0" distB="0" distL="0" distR="0" wp14:anchorId="406F0BBC" wp14:editId="7F220CC6">
            <wp:extent cx="2231390" cy="380365"/>
            <wp:effectExtent l="0" t="0" r="0" b="635"/>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2FF8DDD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963F9B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where:</w:t>
      </w:r>
    </w:p>
    <w:p w14:paraId="0B6FD58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C601D45"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E*</w:t>
      </w:r>
      <w:r w:rsidRPr="00983A96">
        <w:rPr>
          <w:rFonts w:ascii="Times New Roman" w:eastAsia="Calibri" w:hAnsi="Times New Roman" w:cs="Times New Roman"/>
          <w:kern w:val="0"/>
          <w:sz w:val="24"/>
          <w:szCs w:val="24"/>
          <w:vertAlign w:val="subscript"/>
          <w:lang w:val="en-US"/>
          <w14:ligatures w14:val="none"/>
        </w:rPr>
        <w:t>i</w:t>
      </w:r>
      <w:r w:rsidRPr="00983A96">
        <w:rPr>
          <w:rFonts w:ascii="Times New Roman" w:eastAsia="Calibri" w:hAnsi="Times New Roman" w:cs="Times New Roman"/>
          <w:kern w:val="0"/>
          <w:sz w:val="24"/>
          <w:szCs w:val="24"/>
          <w:lang w:val="en-US"/>
          <w14:ligatures w14:val="none"/>
        </w:rPr>
        <w:t xml:space="preserve"> = the add-on </w:t>
      </w:r>
      <w:proofErr w:type="gramStart"/>
      <w:r w:rsidRPr="00983A96">
        <w:rPr>
          <w:rFonts w:ascii="Times New Roman" w:eastAsia="Calibri" w:hAnsi="Times New Roman" w:cs="Times New Roman"/>
          <w:kern w:val="0"/>
          <w:sz w:val="24"/>
          <w:szCs w:val="24"/>
          <w:lang w:val="en-US"/>
          <w14:ligatures w14:val="none"/>
        </w:rPr>
        <w:t>i;</w:t>
      </w:r>
      <w:proofErr w:type="gramEnd"/>
    </w:p>
    <w:p w14:paraId="6E4FCFD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6E60510"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 xml:space="preserve">i = the index that denotes the </w:t>
      </w:r>
      <w:proofErr w:type="gramStart"/>
      <w:r w:rsidRPr="00983A96">
        <w:rPr>
          <w:rFonts w:ascii="Times New Roman" w:eastAsia="Calibri" w:hAnsi="Times New Roman" w:cs="Times New Roman"/>
          <w:kern w:val="0"/>
          <w:sz w:val="24"/>
          <w:szCs w:val="24"/>
          <w:lang w:val="en-US"/>
          <w14:ligatures w14:val="none"/>
        </w:rPr>
        <w:t>transaction;</w:t>
      </w:r>
      <w:proofErr w:type="gramEnd"/>
    </w:p>
    <w:p w14:paraId="415CFE1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78BC86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E</w:t>
      </w:r>
      <w:r w:rsidRPr="00983A96">
        <w:rPr>
          <w:rFonts w:ascii="Times New Roman" w:eastAsia="Calibri" w:hAnsi="Times New Roman" w:cs="Times New Roman"/>
          <w:kern w:val="0"/>
          <w:sz w:val="24"/>
          <w:szCs w:val="24"/>
          <w:vertAlign w:val="subscript"/>
          <w:lang w:val="en-US"/>
          <w14:ligatures w14:val="none"/>
        </w:rPr>
        <w:t xml:space="preserve">i </w:t>
      </w:r>
      <w:r w:rsidRPr="00983A96">
        <w:rPr>
          <w:rFonts w:ascii="Times New Roman" w:eastAsia="Calibri" w:hAnsi="Times New Roman" w:cs="Times New Roman"/>
          <w:kern w:val="0"/>
          <w:sz w:val="24"/>
          <w:szCs w:val="24"/>
          <w:lang w:val="en-US"/>
          <w14:ligatures w14:val="none"/>
        </w:rPr>
        <w:t>= the fair value of securities or cash lent to the counterparty under transaction i; and</w:t>
      </w:r>
    </w:p>
    <w:p w14:paraId="3894561C"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DB85494"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C</w:t>
      </w:r>
      <w:r w:rsidRPr="00983A96">
        <w:rPr>
          <w:rFonts w:ascii="Times New Roman" w:eastAsia="Calibri" w:hAnsi="Times New Roman" w:cs="Times New Roman"/>
          <w:kern w:val="0"/>
          <w:sz w:val="24"/>
          <w:szCs w:val="24"/>
          <w:vertAlign w:val="subscript"/>
          <w:lang w:val="en-US"/>
          <w14:ligatures w14:val="none"/>
        </w:rPr>
        <w:t>i</w:t>
      </w:r>
      <w:r w:rsidRPr="00983A96">
        <w:rPr>
          <w:rFonts w:ascii="Times New Roman" w:eastAsia="Calibri" w:hAnsi="Times New Roman" w:cs="Times New Roman"/>
          <w:kern w:val="0"/>
          <w:sz w:val="24"/>
          <w:szCs w:val="24"/>
          <w:lang w:val="en-US"/>
          <w14:ligatures w14:val="none"/>
        </w:rPr>
        <w:t xml:space="preserve"> = the fair value of securities or cash received from the counterparty in transaction </w:t>
      </w:r>
      <w:proofErr w:type="spellStart"/>
      <w:r w:rsidRPr="00983A96">
        <w:rPr>
          <w:rFonts w:ascii="Times New Roman" w:eastAsia="Calibri" w:hAnsi="Times New Roman" w:cs="Times New Roman"/>
          <w:kern w:val="0"/>
          <w:sz w:val="24"/>
          <w:szCs w:val="24"/>
          <w:lang w:val="en-US"/>
          <w14:ligatures w14:val="none"/>
        </w:rPr>
        <w:t>i.</w:t>
      </w:r>
      <w:proofErr w:type="spellEnd"/>
    </w:p>
    <w:p w14:paraId="1391748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E3032D0" w14:textId="3A0644BA"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Banks may set the E*</w:t>
      </w:r>
      <w:r w:rsidRPr="00983A96">
        <w:rPr>
          <w:rFonts w:ascii="Times New Roman" w:eastAsia="Calibri" w:hAnsi="Times New Roman" w:cs="Times New Roman"/>
          <w:kern w:val="0"/>
          <w:sz w:val="24"/>
          <w:szCs w:val="24"/>
          <w:vertAlign w:val="subscript"/>
          <w:lang w:val="en-US"/>
          <w14:ligatures w14:val="none"/>
        </w:rPr>
        <w:t>i</w:t>
      </w:r>
      <w:r w:rsidRPr="00983A96">
        <w:rPr>
          <w:rFonts w:ascii="Times New Roman" w:eastAsia="Calibri" w:hAnsi="Times New Roman" w:cs="Times New Roman"/>
          <w:kern w:val="0"/>
          <w:sz w:val="24"/>
          <w:szCs w:val="24"/>
          <w:lang w:val="en-US"/>
          <w14:ligatures w14:val="none"/>
        </w:rPr>
        <w:t xml:space="preserve"> equal to zero where E</w:t>
      </w:r>
      <w:r w:rsidRPr="00983A96">
        <w:rPr>
          <w:rFonts w:ascii="Times New Roman" w:eastAsia="Calibri" w:hAnsi="Times New Roman" w:cs="Times New Roman"/>
          <w:kern w:val="0"/>
          <w:sz w:val="24"/>
          <w:szCs w:val="24"/>
          <w:vertAlign w:val="subscript"/>
          <w:lang w:val="en-US"/>
          <w14:ligatures w14:val="none"/>
        </w:rPr>
        <w:t>i</w:t>
      </w:r>
      <w:r w:rsidRPr="00983A96">
        <w:rPr>
          <w:rFonts w:ascii="Times New Roman" w:eastAsia="Calibri" w:hAnsi="Times New Roman" w:cs="Times New Roman"/>
          <w:kern w:val="0"/>
          <w:sz w:val="24"/>
          <w:szCs w:val="24"/>
          <w:lang w:val="en-US"/>
          <w14:ligatures w14:val="none"/>
        </w:rPr>
        <w:t xml:space="preserve"> represents the cash lent to a counterparty and the associated cash receivable is not eligible for the netting treatment </w:t>
      </w:r>
      <w:r w:rsidR="00353023" w:rsidRPr="00983A96">
        <w:rPr>
          <w:rFonts w:ascii="Times New Roman" w:eastAsia="Calibri" w:hAnsi="Times New Roman" w:cs="Times New Roman"/>
          <w:kern w:val="0"/>
          <w:sz w:val="24"/>
          <w:szCs w:val="24"/>
          <w:lang w:val="en-US"/>
          <w14:ligatures w14:val="none"/>
        </w:rPr>
        <w:t xml:space="preserve">set out in </w:t>
      </w:r>
      <w:r w:rsidRPr="00983A96">
        <w:rPr>
          <w:rFonts w:ascii="Times New Roman" w:eastAsia="Calibri" w:hAnsi="Times New Roman" w:cs="Times New Roman"/>
          <w:kern w:val="0"/>
          <w:sz w:val="24"/>
          <w:szCs w:val="24"/>
          <w:lang w:val="en-US"/>
          <w14:ligatures w14:val="none"/>
        </w:rPr>
        <w:t>paragraph 28.</w:t>
      </w:r>
    </w:p>
    <w:p w14:paraId="2A1A324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A068F2D" w14:textId="6DAE5BA3"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56.</w:t>
      </w:r>
      <w:r w:rsidRPr="00983A96">
        <w:rPr>
          <w:rFonts w:ascii="Times New Roman" w:eastAsia="Calibri" w:hAnsi="Times New Roman" w:cs="Times New Roman"/>
          <w:kern w:val="0"/>
          <w:sz w:val="24"/>
          <w:szCs w:val="24"/>
          <w:lang w:val="en-US"/>
          <w14:ligatures w14:val="none"/>
        </w:rPr>
        <w:t xml:space="preserve"> Banks shall calculate the add-on for transactions with a counterparty that are subject to a master netting agreement that meets the conditions set out in paragraph 43 of Regulation No. 112/2018, on an agreement-by-agreement basis </w:t>
      </w:r>
      <w:r w:rsidR="00353023" w:rsidRPr="00983A96">
        <w:rPr>
          <w:rFonts w:ascii="Times New Roman" w:eastAsia="Calibri" w:hAnsi="Times New Roman" w:cs="Times New Roman"/>
          <w:kern w:val="0"/>
          <w:sz w:val="24"/>
          <w:szCs w:val="24"/>
          <w:lang w:val="en-US"/>
          <w14:ligatures w14:val="none"/>
        </w:rPr>
        <w:t xml:space="preserve">in accordance with </w:t>
      </w:r>
      <w:r w:rsidRPr="00983A96">
        <w:rPr>
          <w:rFonts w:ascii="Times New Roman" w:eastAsia="Calibri" w:hAnsi="Times New Roman" w:cs="Times New Roman"/>
          <w:kern w:val="0"/>
          <w:sz w:val="24"/>
          <w:szCs w:val="24"/>
          <w:lang w:val="en-US"/>
          <w14:ligatures w14:val="none"/>
        </w:rPr>
        <w:t>the following formula:</w:t>
      </w:r>
    </w:p>
    <w:p w14:paraId="78AF879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0F1885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Times New Roman" w:hAnsi="Times New Roman" w:cs="Times New Roman"/>
          <w:bCs/>
          <w:noProof/>
          <w:kern w:val="0"/>
          <w:sz w:val="24"/>
          <w:szCs w:val="24"/>
          <w:lang w:val="en-US" w:eastAsia="ro-MD"/>
          <w14:ligatures w14:val="none"/>
        </w:rPr>
        <w:drawing>
          <wp:inline distT="0" distB="0" distL="0" distR="0" wp14:anchorId="58511432" wp14:editId="39809D34">
            <wp:extent cx="3181985" cy="78295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985" cy="782955"/>
                    </a:xfrm>
                    <a:prstGeom prst="rect">
                      <a:avLst/>
                    </a:prstGeom>
                    <a:noFill/>
                    <a:ln>
                      <a:noFill/>
                    </a:ln>
                  </pic:spPr>
                </pic:pic>
              </a:graphicData>
            </a:graphic>
          </wp:inline>
        </w:drawing>
      </w:r>
    </w:p>
    <w:p w14:paraId="4D076AF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where:</w:t>
      </w:r>
    </w:p>
    <w:p w14:paraId="309F298C"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E*</w:t>
      </w:r>
      <w:r w:rsidRPr="00983A96">
        <w:rPr>
          <w:rFonts w:ascii="Times New Roman" w:eastAsia="Calibri" w:hAnsi="Times New Roman" w:cs="Times New Roman"/>
          <w:kern w:val="0"/>
          <w:sz w:val="24"/>
          <w:szCs w:val="24"/>
          <w:vertAlign w:val="subscript"/>
          <w:lang w:val="en-US"/>
          <w14:ligatures w14:val="none"/>
        </w:rPr>
        <w:t>i</w:t>
      </w:r>
      <w:r w:rsidRPr="00983A96">
        <w:rPr>
          <w:rFonts w:ascii="Times New Roman" w:eastAsia="Calibri" w:hAnsi="Times New Roman" w:cs="Times New Roman"/>
          <w:kern w:val="0"/>
          <w:sz w:val="24"/>
          <w:szCs w:val="24"/>
          <w:lang w:val="en-US"/>
          <w14:ligatures w14:val="none"/>
        </w:rPr>
        <w:t xml:space="preserve"> = the add-on </w:t>
      </w:r>
      <w:proofErr w:type="gramStart"/>
      <w:r w:rsidRPr="00983A96">
        <w:rPr>
          <w:rFonts w:ascii="Times New Roman" w:eastAsia="Calibri" w:hAnsi="Times New Roman" w:cs="Times New Roman"/>
          <w:kern w:val="0"/>
          <w:sz w:val="24"/>
          <w:szCs w:val="24"/>
          <w:lang w:val="en-US"/>
          <w14:ligatures w14:val="none"/>
        </w:rPr>
        <w:t>i;</w:t>
      </w:r>
      <w:proofErr w:type="gramEnd"/>
    </w:p>
    <w:p w14:paraId="6509BE6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1DAF18D" w14:textId="54FE60EB"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 xml:space="preserve">i = the index that denotes the netting </w:t>
      </w:r>
      <w:proofErr w:type="gramStart"/>
      <w:r w:rsidR="00353023" w:rsidRPr="00983A96">
        <w:rPr>
          <w:rFonts w:ascii="Times New Roman" w:eastAsia="Calibri" w:hAnsi="Times New Roman" w:cs="Times New Roman"/>
          <w:kern w:val="0"/>
          <w:sz w:val="24"/>
          <w:szCs w:val="24"/>
          <w:lang w:val="en-US"/>
          <w14:ligatures w14:val="none"/>
        </w:rPr>
        <w:t>agreement</w:t>
      </w:r>
      <w:r w:rsidRPr="00983A96">
        <w:rPr>
          <w:rFonts w:ascii="Times New Roman" w:eastAsia="Calibri" w:hAnsi="Times New Roman" w:cs="Times New Roman"/>
          <w:kern w:val="0"/>
          <w:sz w:val="24"/>
          <w:szCs w:val="24"/>
          <w:lang w:val="en-US"/>
          <w14:ligatures w14:val="none"/>
        </w:rPr>
        <w:t>;</w:t>
      </w:r>
      <w:proofErr w:type="gramEnd"/>
    </w:p>
    <w:p w14:paraId="07719088"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AC270DF"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E</w:t>
      </w:r>
      <w:r w:rsidRPr="00983A96">
        <w:rPr>
          <w:rFonts w:ascii="Times New Roman" w:eastAsia="Calibri" w:hAnsi="Times New Roman" w:cs="Times New Roman"/>
          <w:kern w:val="0"/>
          <w:sz w:val="24"/>
          <w:szCs w:val="24"/>
          <w:vertAlign w:val="subscript"/>
          <w:lang w:val="en-US"/>
          <w14:ligatures w14:val="none"/>
        </w:rPr>
        <w:t xml:space="preserve">i </w:t>
      </w:r>
      <w:r w:rsidRPr="00983A96">
        <w:rPr>
          <w:rFonts w:ascii="Times New Roman" w:eastAsia="Calibri" w:hAnsi="Times New Roman" w:cs="Times New Roman"/>
          <w:kern w:val="0"/>
          <w:sz w:val="24"/>
          <w:szCs w:val="24"/>
          <w:lang w:val="en-US"/>
          <w14:ligatures w14:val="none"/>
        </w:rPr>
        <w:t>= the fair value of securities or cash lent to the counterparty for the transaction that are subject to master netting agreement i; and</w:t>
      </w:r>
    </w:p>
    <w:p w14:paraId="0070EF1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790CAD4"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kern w:val="0"/>
          <w:sz w:val="24"/>
          <w:szCs w:val="24"/>
          <w:lang w:val="en-US"/>
          <w14:ligatures w14:val="none"/>
        </w:rPr>
        <w:t>C</w:t>
      </w:r>
      <w:r w:rsidRPr="00983A96">
        <w:rPr>
          <w:rFonts w:ascii="Times New Roman" w:eastAsia="Calibri" w:hAnsi="Times New Roman" w:cs="Times New Roman"/>
          <w:kern w:val="0"/>
          <w:sz w:val="24"/>
          <w:szCs w:val="24"/>
          <w:vertAlign w:val="subscript"/>
          <w:lang w:val="en-US"/>
          <w14:ligatures w14:val="none"/>
        </w:rPr>
        <w:t>i</w:t>
      </w:r>
      <w:r w:rsidRPr="00983A96">
        <w:rPr>
          <w:rFonts w:ascii="Times New Roman" w:eastAsia="Calibri" w:hAnsi="Times New Roman" w:cs="Times New Roman"/>
          <w:kern w:val="0"/>
          <w:sz w:val="24"/>
          <w:szCs w:val="24"/>
          <w:lang w:val="en-US"/>
          <w14:ligatures w14:val="none"/>
        </w:rPr>
        <w:t xml:space="preserve"> = the fair value of securities or cash received from the counterparty that is subject to master netting agreement </w:t>
      </w:r>
      <w:proofErr w:type="spellStart"/>
      <w:r w:rsidRPr="00983A96">
        <w:rPr>
          <w:rFonts w:ascii="Times New Roman" w:eastAsia="Calibri" w:hAnsi="Times New Roman" w:cs="Times New Roman"/>
          <w:kern w:val="0"/>
          <w:sz w:val="24"/>
          <w:szCs w:val="24"/>
          <w:lang w:val="en-US"/>
          <w14:ligatures w14:val="none"/>
        </w:rPr>
        <w:t>i.</w:t>
      </w:r>
      <w:proofErr w:type="spellEnd"/>
    </w:p>
    <w:p w14:paraId="58C1E47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21663FC0" w14:textId="3DD8F60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57.</w:t>
      </w:r>
      <w:r w:rsidRPr="00983A96">
        <w:rPr>
          <w:rFonts w:ascii="Times New Roman" w:eastAsia="Calibri" w:hAnsi="Times New Roman" w:cs="Times New Roman"/>
          <w:kern w:val="0"/>
          <w:sz w:val="24"/>
          <w:szCs w:val="24"/>
          <w:lang w:val="en-US"/>
          <w14:ligatures w14:val="none"/>
        </w:rPr>
        <w:t xml:space="preserve"> For the purposes of paragraphs 55 and 56, the term counterparty </w:t>
      </w:r>
      <w:proofErr w:type="gramStart"/>
      <w:r w:rsidRPr="00983A96">
        <w:rPr>
          <w:rFonts w:ascii="Times New Roman" w:eastAsia="Calibri" w:hAnsi="Times New Roman" w:cs="Times New Roman"/>
          <w:kern w:val="0"/>
          <w:sz w:val="24"/>
          <w:szCs w:val="24"/>
          <w:lang w:val="en-US"/>
          <w14:ligatures w14:val="none"/>
        </w:rPr>
        <w:t xml:space="preserve">includes </w:t>
      </w:r>
      <w:r w:rsidR="005953AF" w:rsidRPr="00983A96">
        <w:rPr>
          <w:rFonts w:ascii="Times New Roman" w:eastAsia="Calibri" w:hAnsi="Times New Roman" w:cs="Times New Roman"/>
          <w:kern w:val="0"/>
          <w:sz w:val="24"/>
          <w:szCs w:val="24"/>
          <w:lang w:val="en-US"/>
          <w14:ligatures w14:val="none"/>
        </w:rPr>
        <w:t>also</w:t>
      </w:r>
      <w:proofErr w:type="gramEnd"/>
      <w:r w:rsidR="005953AF" w:rsidRP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 xml:space="preserve">tri-party agents that receive collateral in deposit and manage </w:t>
      </w:r>
      <w:r w:rsidR="005953AF" w:rsidRPr="00983A96">
        <w:rPr>
          <w:rFonts w:ascii="Times New Roman" w:eastAsia="Calibri" w:hAnsi="Times New Roman" w:cs="Times New Roman"/>
          <w:kern w:val="0"/>
          <w:sz w:val="24"/>
          <w:szCs w:val="24"/>
          <w:lang w:val="en-US"/>
          <w14:ligatures w14:val="none"/>
        </w:rPr>
        <w:t xml:space="preserve">the </w:t>
      </w:r>
      <w:r w:rsidRPr="00983A96">
        <w:rPr>
          <w:rFonts w:ascii="Times New Roman" w:eastAsia="Calibri" w:hAnsi="Times New Roman" w:cs="Times New Roman"/>
          <w:kern w:val="0"/>
          <w:sz w:val="24"/>
          <w:szCs w:val="24"/>
          <w:lang w:val="en-US"/>
          <w14:ligatures w14:val="none"/>
        </w:rPr>
        <w:t>collateral in the case of tri-party transactions.</w:t>
      </w:r>
    </w:p>
    <w:p w14:paraId="6AA85F7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862892E" w14:textId="47626E03"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58.</w:t>
      </w:r>
      <w:r w:rsidRPr="00983A96">
        <w:rPr>
          <w:rFonts w:ascii="Times New Roman" w:eastAsia="Calibri" w:hAnsi="Times New Roman" w:cs="Times New Roman"/>
          <w:kern w:val="0"/>
          <w:sz w:val="24"/>
          <w:szCs w:val="24"/>
          <w:lang w:val="en-US"/>
          <w14:ligatures w14:val="none"/>
        </w:rPr>
        <w:t xml:space="preserve"> By way of derogation from paragraph 54, banks may use the method set out in paragraphs 73–83 of Regulation No. 112/2018, subject to a 20% floor for the applicable risk weight, to determine the add-on for securities financing transactions including those that are off-balance-sheet. </w:t>
      </w:r>
      <w:r w:rsidR="005953AF" w:rsidRPr="00983A96">
        <w:rPr>
          <w:rFonts w:ascii="Times New Roman" w:eastAsia="Calibri" w:hAnsi="Times New Roman" w:cs="Times New Roman"/>
          <w:kern w:val="0"/>
          <w:sz w:val="24"/>
          <w:szCs w:val="24"/>
          <w:lang w:val="en-US"/>
          <w14:ligatures w14:val="none"/>
        </w:rPr>
        <w:t xml:space="preserve">Banks </w:t>
      </w:r>
      <w:r w:rsidRPr="00983A96">
        <w:rPr>
          <w:rFonts w:ascii="Times New Roman" w:eastAsia="Calibri" w:hAnsi="Times New Roman" w:cs="Times New Roman"/>
          <w:kern w:val="0"/>
          <w:sz w:val="24"/>
          <w:szCs w:val="24"/>
          <w:lang w:val="en-US"/>
          <w14:ligatures w14:val="none"/>
        </w:rPr>
        <w:t>may use that method only where they also use it for calculating the exposure value of those transactions for the purpose of meeting the own funds requirements as set out in subparagraphs 1)–3) of paragraph 130 of Regulation No. 109/2018.</w:t>
      </w:r>
    </w:p>
    <w:p w14:paraId="573591B6"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D23D174"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59.</w:t>
      </w:r>
      <w:r w:rsidRPr="00983A96">
        <w:rPr>
          <w:rFonts w:ascii="Times New Roman" w:eastAsia="Calibri" w:hAnsi="Times New Roman" w:cs="Times New Roman"/>
          <w:kern w:val="0"/>
          <w:sz w:val="24"/>
          <w:szCs w:val="24"/>
          <w:lang w:val="en-US"/>
          <w14:ligatures w14:val="none"/>
        </w:rPr>
        <w:t xml:space="preserve"> Where sale accounting is achieved for a repurchase transaction under the applicable accounting framework, the bank shall reverse all sales-related accounting entries.</w:t>
      </w:r>
    </w:p>
    <w:p w14:paraId="22271CE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18D2BAD"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60.</w:t>
      </w:r>
      <w:r w:rsidRPr="00983A96">
        <w:rPr>
          <w:rFonts w:ascii="Times New Roman" w:eastAsia="Calibri" w:hAnsi="Times New Roman" w:cs="Times New Roman"/>
          <w:kern w:val="0"/>
          <w:sz w:val="24"/>
          <w:szCs w:val="24"/>
          <w:lang w:val="en-US"/>
          <w14:ligatures w14:val="none"/>
        </w:rPr>
        <w:t xml:space="preserve"> Where a bank acts as an agent between two parties in a </w:t>
      </w:r>
      <w:proofErr w:type="gramStart"/>
      <w:r w:rsidRPr="00983A96">
        <w:rPr>
          <w:rFonts w:ascii="Times New Roman" w:eastAsia="Calibri" w:hAnsi="Times New Roman" w:cs="Times New Roman"/>
          <w:kern w:val="0"/>
          <w:sz w:val="24"/>
          <w:szCs w:val="24"/>
          <w:lang w:val="en-US"/>
          <w14:ligatures w14:val="none"/>
        </w:rPr>
        <w:t>securities</w:t>
      </w:r>
      <w:proofErr w:type="gramEnd"/>
      <w:r w:rsidRPr="00983A96">
        <w:rPr>
          <w:rFonts w:ascii="Times New Roman" w:eastAsia="Calibri" w:hAnsi="Times New Roman" w:cs="Times New Roman"/>
          <w:kern w:val="0"/>
          <w:sz w:val="24"/>
          <w:szCs w:val="24"/>
          <w:lang w:val="en-US"/>
          <w14:ligatures w14:val="none"/>
        </w:rPr>
        <w:t xml:space="preserve"> financing transaction, including an off-balance-sheet transaction, the following provisions shall apply to the calculation of the bank's total exposure measure:</w:t>
      </w:r>
    </w:p>
    <w:p w14:paraId="2FD1708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0D7AFDC" w14:textId="2623474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60.1.</w:t>
      </w:r>
      <w:r w:rsidRPr="00983A96">
        <w:rPr>
          <w:rFonts w:ascii="Times New Roman" w:eastAsia="Calibri" w:hAnsi="Times New Roman" w:cs="Times New Roman"/>
          <w:kern w:val="0"/>
          <w:sz w:val="24"/>
          <w:szCs w:val="24"/>
          <w:lang w:val="en-US"/>
          <w14:ligatures w14:val="none"/>
        </w:rPr>
        <w:t xml:space="preserve"> where the bank provides an indemnity or guarantee to one of the parties in the securities financing transaction and the indemnity or guarantee is limited to any difference between the value of the security or cash the party has lent and the value of collateral the borrower has provided, the </w:t>
      </w:r>
      <w:r w:rsidR="005953AF" w:rsidRPr="00983A96">
        <w:rPr>
          <w:rFonts w:ascii="Times New Roman" w:eastAsia="Calibri" w:hAnsi="Times New Roman" w:cs="Times New Roman"/>
          <w:kern w:val="0"/>
          <w:sz w:val="24"/>
          <w:szCs w:val="24"/>
          <w:lang w:val="en-US"/>
          <w14:ligatures w14:val="none"/>
        </w:rPr>
        <w:t xml:space="preserve">bank </w:t>
      </w:r>
      <w:r w:rsidRPr="00983A96">
        <w:rPr>
          <w:rFonts w:ascii="Times New Roman" w:eastAsia="Calibri" w:hAnsi="Times New Roman" w:cs="Times New Roman"/>
          <w:kern w:val="0"/>
          <w:sz w:val="24"/>
          <w:szCs w:val="24"/>
          <w:lang w:val="en-US"/>
          <w14:ligatures w14:val="none"/>
        </w:rPr>
        <w:t>shall only include the add-on calculated in accordance with paragraph 55 or 56, as applicable, in the total exposure measure;</w:t>
      </w:r>
    </w:p>
    <w:p w14:paraId="3D824E3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AFF2570"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60.2.</w:t>
      </w:r>
      <w:r w:rsidRPr="00983A96">
        <w:rPr>
          <w:rFonts w:ascii="Times New Roman" w:eastAsia="Calibri" w:hAnsi="Times New Roman" w:cs="Times New Roman"/>
          <w:kern w:val="0"/>
          <w:sz w:val="24"/>
          <w:szCs w:val="24"/>
          <w:lang w:val="en-US"/>
          <w14:ligatures w14:val="none"/>
        </w:rPr>
        <w:t xml:space="preserve"> where the bank does not provide an indemnity or guarantee to any of the involved parties, the transaction shall not be included in the total exposure </w:t>
      </w:r>
      <w:proofErr w:type="gramStart"/>
      <w:r w:rsidRPr="00983A96">
        <w:rPr>
          <w:rFonts w:ascii="Times New Roman" w:eastAsia="Calibri" w:hAnsi="Times New Roman" w:cs="Times New Roman"/>
          <w:kern w:val="0"/>
          <w:sz w:val="24"/>
          <w:szCs w:val="24"/>
          <w:lang w:val="en-US"/>
          <w14:ligatures w14:val="none"/>
        </w:rPr>
        <w:t>measure;</w:t>
      </w:r>
      <w:proofErr w:type="gramEnd"/>
    </w:p>
    <w:p w14:paraId="394C1FE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38703E60"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60.3.</w:t>
      </w:r>
      <w:r w:rsidRPr="00983A96">
        <w:rPr>
          <w:rFonts w:ascii="Times New Roman" w:eastAsia="Calibri" w:hAnsi="Times New Roman" w:cs="Times New Roman"/>
          <w:kern w:val="0"/>
          <w:sz w:val="24"/>
          <w:szCs w:val="24"/>
          <w:lang w:val="en-US"/>
          <w14:ligatures w14:val="none"/>
        </w:rPr>
        <w:t xml:space="preserve"> where the bank is economically exposed to the underlying security or the cash in the transaction to an amount greater than the exposure covered by the add-on, it shall include in the total exposure measure also the full amount of the security or the cash to which it is </w:t>
      </w:r>
      <w:proofErr w:type="gramStart"/>
      <w:r w:rsidRPr="00983A96">
        <w:rPr>
          <w:rFonts w:ascii="Times New Roman" w:eastAsia="Calibri" w:hAnsi="Times New Roman" w:cs="Times New Roman"/>
          <w:kern w:val="0"/>
          <w:sz w:val="24"/>
          <w:szCs w:val="24"/>
          <w:lang w:val="en-US"/>
          <w14:ligatures w14:val="none"/>
        </w:rPr>
        <w:t>exposed;</w:t>
      </w:r>
      <w:proofErr w:type="gramEnd"/>
    </w:p>
    <w:p w14:paraId="4515CCD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05FC6B1" w14:textId="32722EA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60.4.</w:t>
      </w:r>
      <w:r w:rsidRPr="00983A96">
        <w:rPr>
          <w:rFonts w:ascii="Times New Roman" w:eastAsia="Calibri" w:hAnsi="Times New Roman" w:cs="Times New Roman"/>
          <w:kern w:val="0"/>
          <w:sz w:val="24"/>
          <w:szCs w:val="24"/>
          <w:lang w:val="en-US"/>
          <w14:ligatures w14:val="none"/>
        </w:rPr>
        <w:t xml:space="preserve"> where the bank acting as agent provides an indemnity or guarantee to both parties involved in a securities financing transaction, the </w:t>
      </w:r>
      <w:r w:rsidR="005953AF" w:rsidRPr="00983A96">
        <w:rPr>
          <w:rFonts w:ascii="Times New Roman" w:eastAsia="Calibri" w:hAnsi="Times New Roman" w:cs="Times New Roman"/>
          <w:kern w:val="0"/>
          <w:sz w:val="24"/>
          <w:szCs w:val="24"/>
          <w:lang w:val="en-US"/>
          <w14:ligatures w14:val="none"/>
        </w:rPr>
        <w:t xml:space="preserve">bank </w:t>
      </w:r>
      <w:r w:rsidRPr="00983A96">
        <w:rPr>
          <w:rFonts w:ascii="Times New Roman" w:eastAsia="Calibri" w:hAnsi="Times New Roman" w:cs="Times New Roman"/>
          <w:kern w:val="0"/>
          <w:sz w:val="24"/>
          <w:szCs w:val="24"/>
          <w:lang w:val="en-US"/>
          <w14:ligatures w14:val="none"/>
        </w:rPr>
        <w:t>shall calculate its total exposure measure in accordance with subparagraphs 60.1–60.3 separately for each party involved.</w:t>
      </w:r>
    </w:p>
    <w:p w14:paraId="255660C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DCC4C8B"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8 – Calculation of the exposure value of off-balance-sheet items</w:t>
      </w:r>
    </w:p>
    <w:p w14:paraId="21A179E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ACEE4F1"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61.</w:t>
      </w:r>
      <w:r w:rsidRPr="00983A96">
        <w:rPr>
          <w:rFonts w:ascii="Times New Roman" w:eastAsia="Calibri" w:hAnsi="Times New Roman" w:cs="Times New Roman"/>
          <w:kern w:val="0"/>
          <w:sz w:val="24"/>
          <w:szCs w:val="24"/>
          <w:lang w:val="en-US"/>
          <w14:ligatures w14:val="none"/>
        </w:rPr>
        <w:t xml:space="preserve"> Banks shall calculate, in accordance with paragraph 6 of Regulation No. 111/2018, the exposure value of off-balance-sheet items, excluding derivative contracts listed in Annex No. 1 of Regulation No. 114/2018, credit derivatives, securities financing transactions and positions referred to in Section 6.</w:t>
      </w:r>
    </w:p>
    <w:p w14:paraId="7E31D0B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820A3D1"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62.</w:t>
      </w:r>
      <w:r w:rsidRPr="00983A96">
        <w:rPr>
          <w:rFonts w:ascii="Times New Roman" w:eastAsia="Calibri" w:hAnsi="Times New Roman" w:cs="Times New Roman"/>
          <w:kern w:val="0"/>
          <w:sz w:val="24"/>
          <w:szCs w:val="24"/>
          <w:lang w:val="en-US"/>
          <w14:ligatures w14:val="none"/>
        </w:rPr>
        <w:t xml:space="preserve"> Where a commitment refers to the extension of another off-balance-sheet item, the exposure value shall be the lower of the percentages set out in paragraph 6 of Regulation No. 111/2018 applicable to the item to which the commitment relates and to the type of commitment itself, calculated from the nominal amount of the commitment after deducting specific credit risk adjustments and reducing it by any other deductions from own funds related to the asset item in accordance with Regulation No. 109/2018.</w:t>
      </w:r>
    </w:p>
    <w:p w14:paraId="773970B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1A572D1"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63.</w:t>
      </w:r>
      <w:r w:rsidRPr="00983A96">
        <w:rPr>
          <w:rFonts w:ascii="Times New Roman" w:eastAsia="Calibri" w:hAnsi="Times New Roman" w:cs="Times New Roman"/>
          <w:kern w:val="0"/>
          <w:sz w:val="24"/>
          <w:szCs w:val="24"/>
          <w:lang w:val="en-US"/>
          <w14:ligatures w14:val="none"/>
        </w:rPr>
        <w:t xml:space="preserve"> By way of derogation from paragraphs 61 and 62, banks may reduce the credit equivalent amount of an off-balance-sheet item by the corresponding amount of specific credit risk adjustments. This calculation shall be subject to a floor of zero.</w:t>
      </w:r>
    </w:p>
    <w:p w14:paraId="7332BC6D"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C738F37" w14:textId="005C3A5C"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64.</w:t>
      </w:r>
      <w:r w:rsidRPr="00983A96">
        <w:rPr>
          <w:rFonts w:ascii="Times New Roman" w:eastAsia="Calibri" w:hAnsi="Times New Roman" w:cs="Times New Roman"/>
          <w:kern w:val="0"/>
          <w:sz w:val="24"/>
          <w:szCs w:val="24"/>
          <w:lang w:val="en-US"/>
          <w14:ligatures w14:val="none"/>
        </w:rPr>
        <w:t xml:space="preserve"> By way of derogation from paragraph 61, banks shall apply a conversion factor of 10% to off-balance-sheet items in the form of unconditionally </w:t>
      </w:r>
      <w:r w:rsidR="008939DD" w:rsidRPr="00983A96">
        <w:rPr>
          <w:rFonts w:ascii="Times New Roman" w:eastAsia="Calibri" w:hAnsi="Times New Roman" w:cs="Times New Roman"/>
          <w:kern w:val="0"/>
          <w:sz w:val="24"/>
          <w:szCs w:val="24"/>
          <w:lang w:val="en-US"/>
          <w14:ligatures w14:val="none"/>
        </w:rPr>
        <w:t>cancellable</w:t>
      </w:r>
      <w:r w:rsidR="00983A96">
        <w:rPr>
          <w:rFonts w:ascii="Times New Roman" w:eastAsia="Calibri" w:hAnsi="Times New Roman" w:cs="Times New Roman"/>
          <w:kern w:val="0"/>
          <w:sz w:val="24"/>
          <w:szCs w:val="24"/>
          <w:lang w:val="en-US"/>
          <w14:ligatures w14:val="none"/>
        </w:rPr>
        <w:t xml:space="preserve"> </w:t>
      </w:r>
      <w:r w:rsidRPr="00983A96">
        <w:rPr>
          <w:rFonts w:ascii="Times New Roman" w:eastAsia="Calibri" w:hAnsi="Times New Roman" w:cs="Times New Roman"/>
          <w:kern w:val="0"/>
          <w:sz w:val="24"/>
          <w:szCs w:val="24"/>
          <w:lang w:val="en-US"/>
          <w14:ligatures w14:val="none"/>
        </w:rPr>
        <w:t>commitments.</w:t>
      </w:r>
    </w:p>
    <w:p w14:paraId="784A274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FD23AE4"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Section 9 – Calculation of the exposure value of regular-way purchases or sales awaiting settlement</w:t>
      </w:r>
    </w:p>
    <w:p w14:paraId="4F2A2427"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EB9D884" w14:textId="6416DBEA"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65.</w:t>
      </w:r>
      <w:r w:rsidRPr="00983A96">
        <w:rPr>
          <w:rFonts w:ascii="Times New Roman" w:eastAsia="Calibri" w:hAnsi="Times New Roman" w:cs="Times New Roman"/>
          <w:kern w:val="0"/>
          <w:sz w:val="24"/>
          <w:szCs w:val="24"/>
          <w:lang w:val="en-US"/>
          <w14:ligatures w14:val="none"/>
        </w:rPr>
        <w:t xml:space="preserve"> Banks shall treat cash related to regular-way </w:t>
      </w:r>
      <w:r w:rsidR="00F77E4B" w:rsidRPr="00983A96">
        <w:rPr>
          <w:rFonts w:ascii="Times New Roman" w:eastAsia="Calibri" w:hAnsi="Times New Roman" w:cs="Times New Roman"/>
          <w:kern w:val="0"/>
          <w:sz w:val="24"/>
          <w:szCs w:val="24"/>
          <w:lang w:val="en-US"/>
          <w14:ligatures w14:val="none"/>
        </w:rPr>
        <w:t xml:space="preserve">purchases </w:t>
      </w:r>
      <w:r w:rsidRPr="00983A96">
        <w:rPr>
          <w:rFonts w:ascii="Times New Roman" w:eastAsia="Calibri" w:hAnsi="Times New Roman" w:cs="Times New Roman"/>
          <w:kern w:val="0"/>
          <w:sz w:val="24"/>
          <w:szCs w:val="24"/>
          <w:lang w:val="en-US"/>
          <w14:ligatures w14:val="none"/>
        </w:rPr>
        <w:t xml:space="preserve">and </w:t>
      </w:r>
      <w:r w:rsidR="00F77E4B" w:rsidRPr="00983A96">
        <w:rPr>
          <w:rFonts w:ascii="Times New Roman" w:eastAsia="Calibri" w:hAnsi="Times New Roman" w:cs="Times New Roman"/>
          <w:kern w:val="0"/>
          <w:sz w:val="24"/>
          <w:szCs w:val="24"/>
          <w:lang w:val="en-US"/>
          <w14:ligatures w14:val="none"/>
        </w:rPr>
        <w:t xml:space="preserve">financial assets </w:t>
      </w:r>
      <w:r w:rsidRPr="00983A96">
        <w:rPr>
          <w:rFonts w:ascii="Times New Roman" w:eastAsia="Calibri" w:hAnsi="Times New Roman" w:cs="Times New Roman"/>
          <w:kern w:val="0"/>
          <w:sz w:val="24"/>
          <w:szCs w:val="24"/>
          <w:lang w:val="en-US"/>
          <w14:ligatures w14:val="none"/>
        </w:rPr>
        <w:t xml:space="preserve">related to regular-way </w:t>
      </w:r>
      <w:r w:rsidR="00F77E4B" w:rsidRPr="00983A96">
        <w:rPr>
          <w:rFonts w:ascii="Times New Roman" w:eastAsia="Calibri" w:hAnsi="Times New Roman" w:cs="Times New Roman"/>
          <w:kern w:val="0"/>
          <w:sz w:val="24"/>
          <w:szCs w:val="24"/>
          <w:lang w:val="en-US"/>
          <w14:ligatures w14:val="none"/>
        </w:rPr>
        <w:t xml:space="preserve">sales </w:t>
      </w:r>
      <w:r w:rsidRPr="00983A96">
        <w:rPr>
          <w:rFonts w:ascii="Times New Roman" w:eastAsia="Calibri" w:hAnsi="Times New Roman" w:cs="Times New Roman"/>
          <w:kern w:val="0"/>
          <w:sz w:val="24"/>
          <w:szCs w:val="24"/>
          <w:lang w:val="en-US"/>
          <w14:ligatures w14:val="none"/>
        </w:rPr>
        <w:t>which remain on the balance sheet until the settlement date as assets in accordance with subparagraph 9.1.</w:t>
      </w:r>
    </w:p>
    <w:p w14:paraId="5AB40C74"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84EA970"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66.</w:t>
      </w:r>
      <w:r w:rsidRPr="00983A96">
        <w:rPr>
          <w:rFonts w:ascii="Times New Roman" w:eastAsia="Calibri" w:hAnsi="Times New Roman" w:cs="Times New Roman"/>
          <w:kern w:val="0"/>
          <w:sz w:val="24"/>
          <w:szCs w:val="24"/>
          <w:lang w:val="en-US"/>
          <w14:ligatures w14:val="none"/>
        </w:rPr>
        <w:t xml:space="preserve"> Banks that, in accordance with the applicable accounting framework, apply trade date accounting to regular-way purchases and sales which are awaiting settlement shall reverse out any offsetting between cash receivables for regular-way sales awaiting settlement and cash payables for regular-way purchase awaiting settlement allowed under that framework. After banks have reversed out the accounting offsetting, they may offset between those cash receivables and cash payables where both the related regular-way sales and purchases are settled on a delivery-versus-payment basis.</w:t>
      </w:r>
    </w:p>
    <w:p w14:paraId="0CC70BB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4B199079"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67.</w:t>
      </w:r>
      <w:r w:rsidRPr="00983A96">
        <w:rPr>
          <w:rFonts w:ascii="Times New Roman" w:eastAsia="Calibri" w:hAnsi="Times New Roman" w:cs="Times New Roman"/>
          <w:kern w:val="0"/>
          <w:sz w:val="24"/>
          <w:szCs w:val="24"/>
          <w:lang w:val="en-US"/>
          <w14:ligatures w14:val="none"/>
        </w:rPr>
        <w:t xml:space="preserve"> Banks that, in accordance with the applicable accounting framework, apply settlement date accounting to regular-way purchases and sales which are awaiting settlement shall include in the total exposure measure the full nominal value of commitments to pay related to regular-way purchases.</w:t>
      </w:r>
    </w:p>
    <w:p w14:paraId="2EC84AC0"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4E86497"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68.</w:t>
      </w:r>
      <w:r w:rsidRPr="00983A96">
        <w:rPr>
          <w:rFonts w:ascii="Times New Roman" w:eastAsia="Calibri" w:hAnsi="Times New Roman" w:cs="Times New Roman"/>
          <w:kern w:val="0"/>
          <w:sz w:val="24"/>
          <w:szCs w:val="24"/>
          <w:lang w:val="en-US"/>
          <w14:ligatures w14:val="none"/>
        </w:rPr>
        <w:t xml:space="preserve"> Banks may offset the full nominal value of the commitments to pay related to regular-way purchases by the full nominal value of cash receivables related to regular-way sales awaiting settlement only where both of the following conditions are met:</w:t>
      </w:r>
    </w:p>
    <w:p w14:paraId="7267E193"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645B3C0"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68.1.</w:t>
      </w:r>
      <w:r w:rsidRPr="00983A96">
        <w:rPr>
          <w:rFonts w:ascii="Times New Roman" w:eastAsia="Calibri" w:hAnsi="Times New Roman" w:cs="Times New Roman"/>
          <w:kern w:val="0"/>
          <w:sz w:val="24"/>
          <w:szCs w:val="24"/>
          <w:lang w:val="en-US"/>
          <w14:ligatures w14:val="none"/>
        </w:rPr>
        <w:t xml:space="preserve"> both the regular-way purchases and sales are settled on a delivery-versus-payment </w:t>
      </w:r>
      <w:proofErr w:type="gramStart"/>
      <w:r w:rsidRPr="00983A96">
        <w:rPr>
          <w:rFonts w:ascii="Times New Roman" w:eastAsia="Calibri" w:hAnsi="Times New Roman" w:cs="Times New Roman"/>
          <w:kern w:val="0"/>
          <w:sz w:val="24"/>
          <w:szCs w:val="24"/>
          <w:lang w:val="en-US"/>
          <w14:ligatures w14:val="none"/>
        </w:rPr>
        <w:t>basis;</w:t>
      </w:r>
      <w:proofErr w:type="gramEnd"/>
    </w:p>
    <w:p w14:paraId="0B0D7D3B"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F8A07EB" w14:textId="5BFF7A72"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68.2.</w:t>
      </w:r>
      <w:r w:rsidRPr="00983A96">
        <w:rPr>
          <w:rFonts w:ascii="Times New Roman" w:eastAsia="Calibri" w:hAnsi="Times New Roman" w:cs="Times New Roman"/>
          <w:kern w:val="0"/>
          <w:sz w:val="24"/>
          <w:szCs w:val="24"/>
          <w:lang w:val="en-US"/>
          <w14:ligatures w14:val="none"/>
        </w:rPr>
        <w:t xml:space="preserve"> the financial assets bought and sold that are associated with the cash payables and receivables are fair valued through profit </w:t>
      </w:r>
      <w:r w:rsidR="00175C5F" w:rsidRPr="00983A96">
        <w:rPr>
          <w:rFonts w:ascii="Times New Roman" w:eastAsia="Calibri" w:hAnsi="Times New Roman" w:cs="Times New Roman"/>
          <w:kern w:val="0"/>
          <w:sz w:val="24"/>
          <w:szCs w:val="24"/>
          <w:lang w:val="en-US"/>
          <w14:ligatures w14:val="none"/>
        </w:rPr>
        <w:t xml:space="preserve">and </w:t>
      </w:r>
      <w:r w:rsidRPr="00983A96">
        <w:rPr>
          <w:rFonts w:ascii="Times New Roman" w:eastAsia="Calibri" w:hAnsi="Times New Roman" w:cs="Times New Roman"/>
          <w:kern w:val="0"/>
          <w:sz w:val="24"/>
          <w:szCs w:val="24"/>
          <w:lang w:val="en-US"/>
          <w14:ligatures w14:val="none"/>
        </w:rPr>
        <w:t>loss and are included in the bank’s trading book.</w:t>
      </w:r>
    </w:p>
    <w:p w14:paraId="0D5E80C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7D7F849E"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Chapter III</w:t>
      </w:r>
    </w:p>
    <w:p w14:paraId="200FAD4B" w14:textId="77777777" w:rsidR="00CC0A57" w:rsidRPr="00983A96" w:rsidRDefault="00CC0A57" w:rsidP="00CC0A57">
      <w:pPr>
        <w:spacing w:after="0" w:line="240" w:lineRule="auto"/>
        <w:jc w:val="center"/>
        <w:rPr>
          <w:rFonts w:ascii="Times New Roman" w:eastAsia="Calibri" w:hAnsi="Times New Roman" w:cs="Times New Roman"/>
          <w:b/>
          <w:bCs/>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REPORTING REQUIREMENT</w:t>
      </w:r>
    </w:p>
    <w:p w14:paraId="1477CE85"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533A879A" w14:textId="77777777"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69.</w:t>
      </w:r>
      <w:r w:rsidRPr="00983A96">
        <w:rPr>
          <w:rFonts w:ascii="Times New Roman" w:eastAsia="Calibri" w:hAnsi="Times New Roman" w:cs="Times New Roman"/>
          <w:kern w:val="0"/>
          <w:sz w:val="24"/>
          <w:szCs w:val="24"/>
          <w:lang w:val="en-US"/>
          <w14:ligatures w14:val="none"/>
        </w:rPr>
        <w:t xml:space="preserve"> Banks shall report to the NBM the leverage ratio as provided in paragraph 130 subparagraph 4) of Regulation No. 109/2018 and in this Regulation, in accordance with the requirements set out in the Instruction on the submission of COREP reports by banks for the purpose of supervision, approved by Decision of the Executive Board of the NBM No. 117/2018.</w:t>
      </w:r>
    </w:p>
    <w:p w14:paraId="0770FD22"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14ABC132" w14:textId="467ABC61" w:rsidR="00CC0A57" w:rsidRPr="00983A96" w:rsidRDefault="00CC0A57" w:rsidP="00CC0A57">
      <w:pPr>
        <w:spacing w:after="0" w:line="240" w:lineRule="auto"/>
        <w:ind w:firstLine="708"/>
        <w:jc w:val="both"/>
        <w:rPr>
          <w:rFonts w:ascii="Times New Roman" w:eastAsia="Calibri" w:hAnsi="Times New Roman" w:cs="Times New Roman"/>
          <w:kern w:val="0"/>
          <w:sz w:val="24"/>
          <w:szCs w:val="24"/>
          <w:lang w:val="en-US"/>
          <w14:ligatures w14:val="none"/>
        </w:rPr>
      </w:pPr>
      <w:r w:rsidRPr="00983A96">
        <w:rPr>
          <w:rFonts w:ascii="Times New Roman" w:eastAsia="Calibri" w:hAnsi="Times New Roman" w:cs="Times New Roman"/>
          <w:b/>
          <w:bCs/>
          <w:kern w:val="0"/>
          <w:sz w:val="24"/>
          <w:szCs w:val="24"/>
          <w:lang w:val="en-US"/>
          <w14:ligatures w14:val="none"/>
        </w:rPr>
        <w:t>70.</w:t>
      </w:r>
      <w:r w:rsidRPr="00983A96">
        <w:rPr>
          <w:rFonts w:ascii="Times New Roman" w:eastAsia="Calibri" w:hAnsi="Times New Roman" w:cs="Times New Roman"/>
          <w:kern w:val="0"/>
          <w:sz w:val="24"/>
          <w:szCs w:val="24"/>
          <w:lang w:val="en-US"/>
          <w14:ligatures w14:val="none"/>
        </w:rPr>
        <w:t xml:space="preserve"> In addition to the reporting of the leverage ratio referred to in paragraph 69, and </w:t>
      </w:r>
      <w:proofErr w:type="gramStart"/>
      <w:r w:rsidRPr="00983A96">
        <w:rPr>
          <w:rFonts w:ascii="Times New Roman" w:eastAsia="Calibri" w:hAnsi="Times New Roman" w:cs="Times New Roman"/>
          <w:kern w:val="0"/>
          <w:sz w:val="24"/>
          <w:szCs w:val="24"/>
          <w:lang w:val="en-US"/>
          <w14:ligatures w14:val="none"/>
        </w:rPr>
        <w:t>in order to</w:t>
      </w:r>
      <w:proofErr w:type="gramEnd"/>
      <w:r w:rsidRPr="00983A96">
        <w:rPr>
          <w:rFonts w:ascii="Times New Roman" w:eastAsia="Calibri" w:hAnsi="Times New Roman" w:cs="Times New Roman"/>
          <w:kern w:val="0"/>
          <w:sz w:val="24"/>
          <w:szCs w:val="24"/>
          <w:lang w:val="en-US"/>
          <w14:ligatures w14:val="none"/>
        </w:rPr>
        <w:t xml:space="preserve"> enable the NBM to monitor leverage ratio volatility, in particular around reporting reference dates, banks that are </w:t>
      </w:r>
      <w:r w:rsidR="00FD7143" w:rsidRPr="00983A96">
        <w:rPr>
          <w:rFonts w:ascii="Times New Roman" w:eastAsia="Calibri" w:hAnsi="Times New Roman" w:cs="Times New Roman"/>
          <w:kern w:val="0"/>
          <w:sz w:val="24"/>
          <w:szCs w:val="24"/>
          <w:lang w:val="en-US"/>
          <w14:ligatures w14:val="none"/>
        </w:rPr>
        <w:t xml:space="preserve">companies of systemic importance </w:t>
      </w:r>
      <w:r w:rsidRPr="00983A96">
        <w:rPr>
          <w:rFonts w:ascii="Times New Roman" w:eastAsia="Calibri" w:hAnsi="Times New Roman" w:cs="Times New Roman"/>
          <w:kern w:val="0"/>
          <w:sz w:val="24"/>
          <w:szCs w:val="24"/>
          <w:lang w:val="en-US"/>
          <w14:ligatures w14:val="none"/>
        </w:rPr>
        <w:t>shall report specific components of the leverage ratio to the NBM based on average</w:t>
      </w:r>
      <w:r w:rsidR="00175C5F" w:rsidRPr="00983A96">
        <w:rPr>
          <w:rFonts w:ascii="Times New Roman" w:eastAsia="Calibri" w:hAnsi="Times New Roman" w:cs="Times New Roman"/>
          <w:kern w:val="0"/>
          <w:sz w:val="24"/>
          <w:szCs w:val="24"/>
          <w:lang w:val="en-US"/>
          <w14:ligatures w14:val="none"/>
        </w:rPr>
        <w:t>s</w:t>
      </w:r>
      <w:r w:rsidRPr="00983A96">
        <w:rPr>
          <w:rFonts w:ascii="Times New Roman" w:eastAsia="Calibri" w:hAnsi="Times New Roman" w:cs="Times New Roman"/>
          <w:kern w:val="0"/>
          <w:sz w:val="24"/>
          <w:szCs w:val="24"/>
          <w:lang w:val="en-US"/>
          <w14:ligatures w14:val="none"/>
        </w:rPr>
        <w:t xml:space="preserve"> over the reporting period and the data used to calculate those averages.</w:t>
      </w:r>
    </w:p>
    <w:p w14:paraId="1C1F455A" w14:textId="77777777" w:rsidR="00CC0A57" w:rsidRPr="00983A96" w:rsidRDefault="00CC0A57" w:rsidP="00CC0A57">
      <w:pPr>
        <w:spacing w:after="0" w:line="240" w:lineRule="auto"/>
        <w:jc w:val="both"/>
        <w:rPr>
          <w:rFonts w:ascii="Times New Roman" w:eastAsia="Calibri" w:hAnsi="Times New Roman" w:cs="Times New Roman"/>
          <w:kern w:val="0"/>
          <w:sz w:val="24"/>
          <w:szCs w:val="24"/>
          <w:lang w:val="en-US"/>
          <w14:ligatures w14:val="none"/>
        </w:rPr>
      </w:pPr>
    </w:p>
    <w:p w14:paraId="0B9A87A3" w14:textId="77777777" w:rsidR="00B65ABB" w:rsidRPr="00983A96" w:rsidRDefault="00B65ABB">
      <w:pPr>
        <w:rPr>
          <w:lang w:val="en-US"/>
        </w:rPr>
      </w:pPr>
    </w:p>
    <w:sectPr w:rsidR="00B65ABB" w:rsidRPr="00983A96" w:rsidSect="009348B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78AD"/>
    <w:multiLevelType w:val="multilevel"/>
    <w:tmpl w:val="BC6E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B58AC"/>
    <w:multiLevelType w:val="hybridMultilevel"/>
    <w:tmpl w:val="4CA235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1C0276"/>
    <w:multiLevelType w:val="hybridMultilevel"/>
    <w:tmpl w:val="FD00AC1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D621843"/>
    <w:multiLevelType w:val="hybridMultilevel"/>
    <w:tmpl w:val="18D28E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BEE51E4"/>
    <w:multiLevelType w:val="hybridMultilevel"/>
    <w:tmpl w:val="B956C4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63275433">
    <w:abstractNumId w:val="0"/>
  </w:num>
  <w:num w:numId="2" w16cid:durableId="646203333">
    <w:abstractNumId w:val="1"/>
  </w:num>
  <w:num w:numId="3" w16cid:durableId="758255970">
    <w:abstractNumId w:val="2"/>
  </w:num>
  <w:num w:numId="4" w16cid:durableId="756638886">
    <w:abstractNumId w:val="3"/>
  </w:num>
  <w:num w:numId="5" w16cid:durableId="198948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47"/>
    <w:rsid w:val="0000260A"/>
    <w:rsid w:val="0004645E"/>
    <w:rsid w:val="00064248"/>
    <w:rsid w:val="00175C5F"/>
    <w:rsid w:val="00201662"/>
    <w:rsid w:val="002055AE"/>
    <w:rsid w:val="00243C52"/>
    <w:rsid w:val="0033028F"/>
    <w:rsid w:val="00353023"/>
    <w:rsid w:val="003845F3"/>
    <w:rsid w:val="003C4CEC"/>
    <w:rsid w:val="00404F79"/>
    <w:rsid w:val="004C7A9D"/>
    <w:rsid w:val="00516747"/>
    <w:rsid w:val="005953AF"/>
    <w:rsid w:val="007001BE"/>
    <w:rsid w:val="0074681B"/>
    <w:rsid w:val="00751A22"/>
    <w:rsid w:val="008939DD"/>
    <w:rsid w:val="008B2A79"/>
    <w:rsid w:val="008D15A4"/>
    <w:rsid w:val="009110A8"/>
    <w:rsid w:val="009348B5"/>
    <w:rsid w:val="00934B81"/>
    <w:rsid w:val="00983A96"/>
    <w:rsid w:val="00AA1A36"/>
    <w:rsid w:val="00AB0B5E"/>
    <w:rsid w:val="00B65ABB"/>
    <w:rsid w:val="00B74595"/>
    <w:rsid w:val="00CA38BA"/>
    <w:rsid w:val="00CC0A57"/>
    <w:rsid w:val="00CD62DE"/>
    <w:rsid w:val="00DA1D5C"/>
    <w:rsid w:val="00E01609"/>
    <w:rsid w:val="00E53A72"/>
    <w:rsid w:val="00F77E4B"/>
    <w:rsid w:val="00F867F9"/>
    <w:rsid w:val="00FC0DE3"/>
    <w:rsid w:val="00FD714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ECBE"/>
  <w15:chartTrackingRefBased/>
  <w15:docId w15:val="{7134EC8D-BC5C-4391-BF13-5BC2128F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A57"/>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Heading2">
    <w:name w:val="heading 2"/>
    <w:basedOn w:val="Normal"/>
    <w:next w:val="Normal"/>
    <w:link w:val="Heading2Char"/>
    <w:uiPriority w:val="9"/>
    <w:semiHidden/>
    <w:unhideWhenUsed/>
    <w:qFormat/>
    <w:rsid w:val="00CC0A57"/>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Heading3">
    <w:name w:val="heading 3"/>
    <w:basedOn w:val="Normal"/>
    <w:next w:val="Normal"/>
    <w:link w:val="Heading3Char"/>
    <w:uiPriority w:val="9"/>
    <w:semiHidden/>
    <w:unhideWhenUsed/>
    <w:qFormat/>
    <w:rsid w:val="00CC0A57"/>
    <w:pPr>
      <w:keepNext/>
      <w:keepLines/>
      <w:spacing w:before="40" w:after="0"/>
      <w:outlineLvl w:val="2"/>
    </w:pPr>
    <w:rPr>
      <w:rFonts w:eastAsia="Times New Roman" w:cs="Times New Roman"/>
      <w:color w:val="2F5496"/>
      <w:kern w:val="0"/>
      <w:sz w:val="28"/>
      <w:szCs w:val="28"/>
      <w14:ligatures w14:val="none"/>
    </w:rPr>
  </w:style>
  <w:style w:type="paragraph" w:styleId="Heading4">
    <w:name w:val="heading 4"/>
    <w:basedOn w:val="Normal"/>
    <w:next w:val="Normal"/>
    <w:link w:val="Heading4Char"/>
    <w:uiPriority w:val="9"/>
    <w:semiHidden/>
    <w:unhideWhenUsed/>
    <w:qFormat/>
    <w:rsid w:val="00CC0A57"/>
    <w:pPr>
      <w:keepNext/>
      <w:keepLines/>
      <w:spacing w:before="40" w:after="0"/>
      <w:outlineLvl w:val="3"/>
    </w:pPr>
    <w:rPr>
      <w:rFonts w:eastAsia="Times New Roman" w:cs="Times New Roman"/>
      <w:i/>
      <w:iCs/>
      <w:color w:val="2F5496"/>
      <w:kern w:val="0"/>
      <w:sz w:val="28"/>
      <w14:ligatures w14:val="none"/>
    </w:rPr>
  </w:style>
  <w:style w:type="paragraph" w:styleId="Heading5">
    <w:name w:val="heading 5"/>
    <w:basedOn w:val="Normal"/>
    <w:next w:val="Normal"/>
    <w:link w:val="Heading5Char"/>
    <w:uiPriority w:val="9"/>
    <w:semiHidden/>
    <w:unhideWhenUsed/>
    <w:qFormat/>
    <w:rsid w:val="00CC0A57"/>
    <w:pPr>
      <w:keepNext/>
      <w:keepLines/>
      <w:spacing w:before="40" w:after="0"/>
      <w:outlineLvl w:val="4"/>
    </w:pPr>
    <w:rPr>
      <w:rFonts w:eastAsia="Times New Roman" w:cs="Times New Roman"/>
      <w:color w:val="2F5496"/>
      <w:kern w:val="0"/>
      <w:sz w:val="28"/>
      <w14:ligatures w14:val="none"/>
    </w:rPr>
  </w:style>
  <w:style w:type="paragraph" w:styleId="Heading6">
    <w:name w:val="heading 6"/>
    <w:basedOn w:val="Normal"/>
    <w:next w:val="Normal"/>
    <w:link w:val="Heading6Char"/>
    <w:uiPriority w:val="9"/>
    <w:semiHidden/>
    <w:unhideWhenUsed/>
    <w:qFormat/>
    <w:rsid w:val="00CC0A57"/>
    <w:pPr>
      <w:keepNext/>
      <w:keepLines/>
      <w:spacing w:before="40" w:after="0"/>
      <w:outlineLvl w:val="5"/>
    </w:pPr>
    <w:rPr>
      <w:rFonts w:eastAsia="Times New Roman" w:cs="Times New Roman"/>
      <w:i/>
      <w:iCs/>
      <w:color w:val="595959"/>
      <w:kern w:val="0"/>
      <w:sz w:val="28"/>
      <w14:ligatures w14:val="none"/>
    </w:rPr>
  </w:style>
  <w:style w:type="paragraph" w:styleId="Heading7">
    <w:name w:val="heading 7"/>
    <w:basedOn w:val="Normal"/>
    <w:next w:val="Normal"/>
    <w:link w:val="Heading7Char"/>
    <w:uiPriority w:val="9"/>
    <w:semiHidden/>
    <w:unhideWhenUsed/>
    <w:qFormat/>
    <w:rsid w:val="00CC0A57"/>
    <w:pPr>
      <w:keepNext/>
      <w:keepLines/>
      <w:spacing w:before="40" w:after="0"/>
      <w:outlineLvl w:val="6"/>
    </w:pPr>
    <w:rPr>
      <w:rFonts w:eastAsia="Times New Roman" w:cs="Times New Roman"/>
      <w:color w:val="595959"/>
      <w:kern w:val="0"/>
      <w:sz w:val="28"/>
      <w14:ligatures w14:val="none"/>
    </w:rPr>
  </w:style>
  <w:style w:type="paragraph" w:styleId="Heading8">
    <w:name w:val="heading 8"/>
    <w:basedOn w:val="Normal"/>
    <w:next w:val="Normal"/>
    <w:link w:val="Heading8Char"/>
    <w:uiPriority w:val="9"/>
    <w:semiHidden/>
    <w:unhideWhenUsed/>
    <w:qFormat/>
    <w:rsid w:val="00CC0A57"/>
    <w:pPr>
      <w:keepNext/>
      <w:keepLines/>
      <w:spacing w:before="40" w:after="0"/>
      <w:outlineLvl w:val="7"/>
    </w:pPr>
    <w:rPr>
      <w:rFonts w:eastAsia="Times New Roman" w:cs="Times New Roman"/>
      <w:i/>
      <w:iCs/>
      <w:color w:val="272727"/>
      <w:kern w:val="0"/>
      <w:sz w:val="28"/>
      <w14:ligatures w14:val="none"/>
    </w:rPr>
  </w:style>
  <w:style w:type="paragraph" w:styleId="Heading9">
    <w:name w:val="heading 9"/>
    <w:basedOn w:val="Normal"/>
    <w:next w:val="Normal"/>
    <w:link w:val="Heading9Char"/>
    <w:uiPriority w:val="9"/>
    <w:semiHidden/>
    <w:unhideWhenUsed/>
    <w:qFormat/>
    <w:rsid w:val="00CC0A57"/>
    <w:pPr>
      <w:keepNext/>
      <w:keepLines/>
      <w:spacing w:before="40" w:after="0"/>
      <w:outlineLvl w:val="8"/>
    </w:pPr>
    <w:rPr>
      <w:rFonts w:eastAsia="Times New Roman" w:cs="Times New Roman"/>
      <w:color w:val="272727"/>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C0A57"/>
    <w:pPr>
      <w:keepNext/>
      <w:keepLines/>
      <w:spacing w:before="360" w:after="80" w:line="240" w:lineRule="auto"/>
      <w:outlineLvl w:val="0"/>
    </w:pPr>
    <w:rPr>
      <w:rFonts w:ascii="Calibri Light" w:eastAsia="Times New Roman" w:hAnsi="Calibri Light" w:cs="Times New Roman"/>
      <w:color w:val="2F5496"/>
      <w:kern w:val="0"/>
      <w:sz w:val="40"/>
      <w:szCs w:val="40"/>
      <w:lang w:val="ro-RO"/>
      <w14:ligatures w14:val="none"/>
    </w:rPr>
  </w:style>
  <w:style w:type="paragraph" w:customStyle="1" w:styleId="Heading21">
    <w:name w:val="Heading 21"/>
    <w:basedOn w:val="Normal"/>
    <w:next w:val="Normal"/>
    <w:uiPriority w:val="9"/>
    <w:semiHidden/>
    <w:unhideWhenUsed/>
    <w:qFormat/>
    <w:rsid w:val="00CC0A57"/>
    <w:pPr>
      <w:keepNext/>
      <w:keepLines/>
      <w:spacing w:before="160" w:after="80" w:line="240" w:lineRule="auto"/>
      <w:outlineLvl w:val="1"/>
    </w:pPr>
    <w:rPr>
      <w:rFonts w:ascii="Calibri Light" w:eastAsia="Times New Roman" w:hAnsi="Calibri Light" w:cs="Times New Roman"/>
      <w:color w:val="2F5496"/>
      <w:kern w:val="0"/>
      <w:sz w:val="32"/>
      <w:szCs w:val="32"/>
      <w:lang w:val="ro-RO"/>
      <w14:ligatures w14:val="none"/>
    </w:rPr>
  </w:style>
  <w:style w:type="paragraph" w:customStyle="1" w:styleId="Heading31">
    <w:name w:val="Heading 31"/>
    <w:basedOn w:val="Normal"/>
    <w:next w:val="Normal"/>
    <w:uiPriority w:val="9"/>
    <w:semiHidden/>
    <w:unhideWhenUsed/>
    <w:qFormat/>
    <w:rsid w:val="00CC0A57"/>
    <w:pPr>
      <w:keepNext/>
      <w:keepLines/>
      <w:spacing w:before="160" w:after="80" w:line="240" w:lineRule="auto"/>
      <w:outlineLvl w:val="2"/>
    </w:pPr>
    <w:rPr>
      <w:rFonts w:eastAsia="Times New Roman" w:cs="Times New Roman"/>
      <w:color w:val="2F5496"/>
      <w:kern w:val="0"/>
      <w:sz w:val="28"/>
      <w:szCs w:val="28"/>
      <w:lang w:val="ro-RO"/>
      <w14:ligatures w14:val="none"/>
    </w:rPr>
  </w:style>
  <w:style w:type="paragraph" w:customStyle="1" w:styleId="Heading41">
    <w:name w:val="Heading 41"/>
    <w:basedOn w:val="Normal"/>
    <w:next w:val="Normal"/>
    <w:uiPriority w:val="9"/>
    <w:semiHidden/>
    <w:unhideWhenUsed/>
    <w:qFormat/>
    <w:rsid w:val="00CC0A57"/>
    <w:pPr>
      <w:keepNext/>
      <w:keepLines/>
      <w:spacing w:before="80" w:after="40" w:line="240" w:lineRule="auto"/>
      <w:outlineLvl w:val="3"/>
    </w:pPr>
    <w:rPr>
      <w:rFonts w:eastAsia="Times New Roman" w:cs="Times New Roman"/>
      <w:i/>
      <w:iCs/>
      <w:color w:val="2F5496"/>
      <w:kern w:val="0"/>
      <w:sz w:val="28"/>
      <w:lang w:val="ro-RO"/>
      <w14:ligatures w14:val="none"/>
    </w:rPr>
  </w:style>
  <w:style w:type="paragraph" w:customStyle="1" w:styleId="Heading51">
    <w:name w:val="Heading 51"/>
    <w:basedOn w:val="Normal"/>
    <w:next w:val="Normal"/>
    <w:uiPriority w:val="9"/>
    <w:semiHidden/>
    <w:unhideWhenUsed/>
    <w:qFormat/>
    <w:rsid w:val="00CC0A57"/>
    <w:pPr>
      <w:keepNext/>
      <w:keepLines/>
      <w:spacing w:before="80" w:after="40" w:line="240" w:lineRule="auto"/>
      <w:outlineLvl w:val="4"/>
    </w:pPr>
    <w:rPr>
      <w:rFonts w:eastAsia="Times New Roman" w:cs="Times New Roman"/>
      <w:color w:val="2F5496"/>
      <w:kern w:val="0"/>
      <w:sz w:val="28"/>
      <w:lang w:val="ro-RO"/>
      <w14:ligatures w14:val="none"/>
    </w:rPr>
  </w:style>
  <w:style w:type="paragraph" w:customStyle="1" w:styleId="Heading61">
    <w:name w:val="Heading 61"/>
    <w:basedOn w:val="Normal"/>
    <w:next w:val="Normal"/>
    <w:uiPriority w:val="9"/>
    <w:semiHidden/>
    <w:unhideWhenUsed/>
    <w:qFormat/>
    <w:rsid w:val="00CC0A57"/>
    <w:pPr>
      <w:keepNext/>
      <w:keepLines/>
      <w:spacing w:before="40" w:after="0" w:line="240" w:lineRule="auto"/>
      <w:outlineLvl w:val="5"/>
    </w:pPr>
    <w:rPr>
      <w:rFonts w:eastAsia="Times New Roman" w:cs="Times New Roman"/>
      <w:i/>
      <w:iCs/>
      <w:color w:val="595959"/>
      <w:kern w:val="0"/>
      <w:sz w:val="28"/>
      <w:lang w:val="ro-RO"/>
      <w14:ligatures w14:val="none"/>
    </w:rPr>
  </w:style>
  <w:style w:type="paragraph" w:customStyle="1" w:styleId="Heading71">
    <w:name w:val="Heading 71"/>
    <w:basedOn w:val="Normal"/>
    <w:next w:val="Normal"/>
    <w:uiPriority w:val="9"/>
    <w:semiHidden/>
    <w:unhideWhenUsed/>
    <w:qFormat/>
    <w:rsid w:val="00CC0A57"/>
    <w:pPr>
      <w:keepNext/>
      <w:keepLines/>
      <w:spacing w:before="40" w:after="0" w:line="240" w:lineRule="auto"/>
      <w:outlineLvl w:val="6"/>
    </w:pPr>
    <w:rPr>
      <w:rFonts w:eastAsia="Times New Roman" w:cs="Times New Roman"/>
      <w:color w:val="595959"/>
      <w:kern w:val="0"/>
      <w:sz w:val="28"/>
      <w:lang w:val="ro-RO"/>
      <w14:ligatures w14:val="none"/>
    </w:rPr>
  </w:style>
  <w:style w:type="paragraph" w:customStyle="1" w:styleId="Heading81">
    <w:name w:val="Heading 81"/>
    <w:basedOn w:val="Normal"/>
    <w:next w:val="Normal"/>
    <w:uiPriority w:val="9"/>
    <w:semiHidden/>
    <w:unhideWhenUsed/>
    <w:qFormat/>
    <w:rsid w:val="00CC0A57"/>
    <w:pPr>
      <w:keepNext/>
      <w:keepLines/>
      <w:spacing w:after="0" w:line="240" w:lineRule="auto"/>
      <w:outlineLvl w:val="7"/>
    </w:pPr>
    <w:rPr>
      <w:rFonts w:eastAsia="Times New Roman" w:cs="Times New Roman"/>
      <w:i/>
      <w:iCs/>
      <w:color w:val="272727"/>
      <w:kern w:val="0"/>
      <w:sz w:val="28"/>
      <w:lang w:val="ro-RO"/>
      <w14:ligatures w14:val="none"/>
    </w:rPr>
  </w:style>
  <w:style w:type="paragraph" w:customStyle="1" w:styleId="Heading91">
    <w:name w:val="Heading 91"/>
    <w:basedOn w:val="Normal"/>
    <w:next w:val="Normal"/>
    <w:uiPriority w:val="9"/>
    <w:semiHidden/>
    <w:unhideWhenUsed/>
    <w:qFormat/>
    <w:rsid w:val="00CC0A57"/>
    <w:pPr>
      <w:keepNext/>
      <w:keepLines/>
      <w:spacing w:after="0" w:line="240" w:lineRule="auto"/>
      <w:outlineLvl w:val="8"/>
    </w:pPr>
    <w:rPr>
      <w:rFonts w:eastAsia="Times New Roman" w:cs="Times New Roman"/>
      <w:color w:val="272727"/>
      <w:kern w:val="0"/>
      <w:sz w:val="28"/>
      <w:lang w:val="ro-RO"/>
      <w14:ligatures w14:val="none"/>
    </w:rPr>
  </w:style>
  <w:style w:type="numbering" w:customStyle="1" w:styleId="NoList1">
    <w:name w:val="No List1"/>
    <w:next w:val="NoList"/>
    <w:uiPriority w:val="99"/>
    <w:semiHidden/>
    <w:unhideWhenUsed/>
    <w:rsid w:val="00CC0A57"/>
  </w:style>
  <w:style w:type="character" w:customStyle="1" w:styleId="Heading1Char">
    <w:name w:val="Heading 1 Char"/>
    <w:basedOn w:val="DefaultParagraphFont"/>
    <w:link w:val="Heading1"/>
    <w:uiPriority w:val="9"/>
    <w:rsid w:val="00CC0A57"/>
    <w:rPr>
      <w:rFonts w:ascii="Calibri Light" w:eastAsia="Times New Roman" w:hAnsi="Calibri Light" w:cs="Times New Roman"/>
      <w:color w:val="2F5496"/>
      <w:kern w:val="0"/>
      <w:sz w:val="40"/>
      <w:szCs w:val="40"/>
      <w14:ligatures w14:val="none"/>
    </w:rPr>
  </w:style>
  <w:style w:type="character" w:customStyle="1" w:styleId="Heading2Char">
    <w:name w:val="Heading 2 Char"/>
    <w:basedOn w:val="DefaultParagraphFont"/>
    <w:link w:val="Heading2"/>
    <w:uiPriority w:val="9"/>
    <w:semiHidden/>
    <w:rsid w:val="00CC0A57"/>
    <w:rPr>
      <w:rFonts w:ascii="Calibri Light" w:eastAsia="Times New Roman" w:hAnsi="Calibri Light" w:cs="Times New Roman"/>
      <w:color w:val="2F5496"/>
      <w:kern w:val="0"/>
      <w:sz w:val="32"/>
      <w:szCs w:val="32"/>
      <w14:ligatures w14:val="none"/>
    </w:rPr>
  </w:style>
  <w:style w:type="character" w:customStyle="1" w:styleId="Heading3Char">
    <w:name w:val="Heading 3 Char"/>
    <w:basedOn w:val="DefaultParagraphFont"/>
    <w:link w:val="Heading3"/>
    <w:uiPriority w:val="9"/>
    <w:semiHidden/>
    <w:rsid w:val="00CC0A57"/>
    <w:rPr>
      <w:rFonts w:eastAsia="Times New Roman" w:cs="Times New Roman"/>
      <w:color w:val="2F5496"/>
      <w:kern w:val="0"/>
      <w:sz w:val="28"/>
      <w:szCs w:val="28"/>
      <w14:ligatures w14:val="none"/>
    </w:rPr>
  </w:style>
  <w:style w:type="character" w:customStyle="1" w:styleId="Heading4Char">
    <w:name w:val="Heading 4 Char"/>
    <w:basedOn w:val="DefaultParagraphFont"/>
    <w:link w:val="Heading4"/>
    <w:uiPriority w:val="9"/>
    <w:semiHidden/>
    <w:rsid w:val="00CC0A57"/>
    <w:rPr>
      <w:rFonts w:eastAsia="Times New Roman" w:cs="Times New Roman"/>
      <w:i/>
      <w:iCs/>
      <w:color w:val="2F5496"/>
      <w:kern w:val="0"/>
      <w:sz w:val="28"/>
      <w14:ligatures w14:val="none"/>
    </w:rPr>
  </w:style>
  <w:style w:type="character" w:customStyle="1" w:styleId="Heading5Char">
    <w:name w:val="Heading 5 Char"/>
    <w:basedOn w:val="DefaultParagraphFont"/>
    <w:link w:val="Heading5"/>
    <w:uiPriority w:val="9"/>
    <w:semiHidden/>
    <w:rsid w:val="00CC0A57"/>
    <w:rPr>
      <w:rFonts w:eastAsia="Times New Roman" w:cs="Times New Roman"/>
      <w:color w:val="2F5496"/>
      <w:kern w:val="0"/>
      <w:sz w:val="28"/>
      <w14:ligatures w14:val="none"/>
    </w:rPr>
  </w:style>
  <w:style w:type="character" w:customStyle="1" w:styleId="Heading6Char">
    <w:name w:val="Heading 6 Char"/>
    <w:basedOn w:val="DefaultParagraphFont"/>
    <w:link w:val="Heading6"/>
    <w:uiPriority w:val="9"/>
    <w:semiHidden/>
    <w:rsid w:val="00CC0A57"/>
    <w:rPr>
      <w:rFonts w:eastAsia="Times New Roman" w:cs="Times New Roman"/>
      <w:i/>
      <w:iCs/>
      <w:color w:val="595959"/>
      <w:kern w:val="0"/>
      <w:sz w:val="28"/>
      <w14:ligatures w14:val="none"/>
    </w:rPr>
  </w:style>
  <w:style w:type="character" w:customStyle="1" w:styleId="Heading7Char">
    <w:name w:val="Heading 7 Char"/>
    <w:basedOn w:val="DefaultParagraphFont"/>
    <w:link w:val="Heading7"/>
    <w:uiPriority w:val="9"/>
    <w:semiHidden/>
    <w:rsid w:val="00CC0A57"/>
    <w:rPr>
      <w:rFonts w:eastAsia="Times New Roman" w:cs="Times New Roman"/>
      <w:color w:val="595959"/>
      <w:kern w:val="0"/>
      <w:sz w:val="28"/>
      <w14:ligatures w14:val="none"/>
    </w:rPr>
  </w:style>
  <w:style w:type="character" w:customStyle="1" w:styleId="Heading8Char">
    <w:name w:val="Heading 8 Char"/>
    <w:basedOn w:val="DefaultParagraphFont"/>
    <w:link w:val="Heading8"/>
    <w:uiPriority w:val="9"/>
    <w:semiHidden/>
    <w:rsid w:val="00CC0A57"/>
    <w:rPr>
      <w:rFonts w:eastAsia="Times New Roman" w:cs="Times New Roman"/>
      <w:i/>
      <w:iCs/>
      <w:color w:val="272727"/>
      <w:kern w:val="0"/>
      <w:sz w:val="28"/>
      <w14:ligatures w14:val="none"/>
    </w:rPr>
  </w:style>
  <w:style w:type="character" w:customStyle="1" w:styleId="Heading9Char">
    <w:name w:val="Heading 9 Char"/>
    <w:basedOn w:val="DefaultParagraphFont"/>
    <w:link w:val="Heading9"/>
    <w:uiPriority w:val="9"/>
    <w:semiHidden/>
    <w:rsid w:val="00CC0A57"/>
    <w:rPr>
      <w:rFonts w:eastAsia="Times New Roman" w:cs="Times New Roman"/>
      <w:color w:val="272727"/>
      <w:kern w:val="0"/>
      <w:sz w:val="28"/>
      <w14:ligatures w14:val="none"/>
    </w:rPr>
  </w:style>
  <w:style w:type="paragraph" w:customStyle="1" w:styleId="Title1">
    <w:name w:val="Title1"/>
    <w:basedOn w:val="Normal"/>
    <w:next w:val="Normal"/>
    <w:uiPriority w:val="10"/>
    <w:qFormat/>
    <w:rsid w:val="00CC0A57"/>
    <w:pPr>
      <w:spacing w:after="80" w:line="240" w:lineRule="auto"/>
      <w:contextualSpacing/>
    </w:pPr>
    <w:rPr>
      <w:rFonts w:ascii="Calibri Light" w:eastAsia="Times New Roman" w:hAnsi="Calibri Light" w:cs="Times New Roman"/>
      <w:spacing w:val="-10"/>
      <w:kern w:val="28"/>
      <w:sz w:val="56"/>
      <w:szCs w:val="56"/>
      <w:lang w:val="ro-RO"/>
      <w14:ligatures w14:val="none"/>
    </w:rPr>
  </w:style>
  <w:style w:type="character" w:customStyle="1" w:styleId="TitleChar">
    <w:name w:val="Title Char"/>
    <w:basedOn w:val="DefaultParagraphFont"/>
    <w:link w:val="Title"/>
    <w:uiPriority w:val="10"/>
    <w:rsid w:val="00CC0A57"/>
    <w:rPr>
      <w:rFonts w:ascii="Calibri Light" w:eastAsia="Times New Roman" w:hAnsi="Calibri Light" w:cs="Times New Roman"/>
      <w:spacing w:val="-10"/>
      <w:kern w:val="28"/>
      <w:sz w:val="56"/>
      <w:szCs w:val="56"/>
      <w14:ligatures w14:val="none"/>
    </w:rPr>
  </w:style>
  <w:style w:type="paragraph" w:customStyle="1" w:styleId="Subtitle1">
    <w:name w:val="Subtitle1"/>
    <w:basedOn w:val="Normal"/>
    <w:next w:val="Normal"/>
    <w:uiPriority w:val="11"/>
    <w:qFormat/>
    <w:rsid w:val="00CC0A57"/>
    <w:pPr>
      <w:numPr>
        <w:ilvl w:val="1"/>
      </w:numPr>
      <w:spacing w:line="240" w:lineRule="auto"/>
    </w:pPr>
    <w:rPr>
      <w:rFonts w:eastAsia="Times New Roman" w:cs="Times New Roman"/>
      <w:color w:val="595959"/>
      <w:spacing w:val="15"/>
      <w:kern w:val="0"/>
      <w:sz w:val="28"/>
      <w:szCs w:val="28"/>
      <w:lang w:val="ro-RO"/>
      <w14:ligatures w14:val="none"/>
    </w:rPr>
  </w:style>
  <w:style w:type="character" w:customStyle="1" w:styleId="SubtitleChar">
    <w:name w:val="Subtitle Char"/>
    <w:basedOn w:val="DefaultParagraphFont"/>
    <w:link w:val="Subtitle"/>
    <w:uiPriority w:val="11"/>
    <w:rsid w:val="00CC0A57"/>
    <w:rPr>
      <w:rFonts w:eastAsia="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CC0A57"/>
    <w:pPr>
      <w:spacing w:before="160" w:line="240" w:lineRule="auto"/>
      <w:jc w:val="center"/>
    </w:pPr>
    <w:rPr>
      <w:rFonts w:ascii="Times New Roman" w:hAnsi="Times New Roman"/>
      <w:i/>
      <w:iCs/>
      <w:color w:val="404040"/>
      <w:kern w:val="0"/>
      <w:sz w:val="28"/>
      <w:lang w:val="ro-RO"/>
      <w14:ligatures w14:val="none"/>
    </w:rPr>
  </w:style>
  <w:style w:type="character" w:customStyle="1" w:styleId="QuoteChar">
    <w:name w:val="Quote Char"/>
    <w:basedOn w:val="DefaultParagraphFont"/>
    <w:link w:val="Quote"/>
    <w:uiPriority w:val="29"/>
    <w:rsid w:val="00CC0A57"/>
    <w:rPr>
      <w:rFonts w:ascii="Times New Roman" w:hAnsi="Times New Roman"/>
      <w:i/>
      <w:iCs/>
      <w:color w:val="404040"/>
      <w:kern w:val="0"/>
      <w:sz w:val="28"/>
      <w14:ligatures w14:val="none"/>
    </w:rPr>
  </w:style>
  <w:style w:type="paragraph" w:styleId="ListParagraph">
    <w:name w:val="List Paragraph"/>
    <w:basedOn w:val="Normal"/>
    <w:uiPriority w:val="34"/>
    <w:qFormat/>
    <w:rsid w:val="00CC0A57"/>
    <w:pPr>
      <w:spacing w:line="240" w:lineRule="auto"/>
      <w:ind w:left="720"/>
      <w:contextualSpacing/>
    </w:pPr>
    <w:rPr>
      <w:rFonts w:ascii="Times New Roman" w:hAnsi="Times New Roman"/>
      <w:kern w:val="0"/>
      <w:sz w:val="28"/>
      <w:lang w:val="ro-RO"/>
      <w14:ligatures w14:val="none"/>
    </w:rPr>
  </w:style>
  <w:style w:type="character" w:customStyle="1" w:styleId="IntenseEmphasis1">
    <w:name w:val="Intense Emphasis1"/>
    <w:basedOn w:val="DefaultParagraphFont"/>
    <w:uiPriority w:val="21"/>
    <w:qFormat/>
    <w:rsid w:val="00CC0A57"/>
    <w:rPr>
      <w:i/>
      <w:iCs/>
      <w:color w:val="2F5496"/>
    </w:rPr>
  </w:style>
  <w:style w:type="paragraph" w:customStyle="1" w:styleId="IntenseQuote1">
    <w:name w:val="Intense Quote1"/>
    <w:basedOn w:val="Normal"/>
    <w:next w:val="Normal"/>
    <w:uiPriority w:val="30"/>
    <w:qFormat/>
    <w:rsid w:val="00CC0A57"/>
    <w:pPr>
      <w:pBdr>
        <w:top w:val="single" w:sz="4" w:space="10" w:color="2F5496"/>
        <w:bottom w:val="single" w:sz="4" w:space="10" w:color="2F5496"/>
      </w:pBdr>
      <w:spacing w:before="360" w:after="360" w:line="240" w:lineRule="auto"/>
      <w:ind w:left="864" w:right="864"/>
      <w:jc w:val="center"/>
    </w:pPr>
    <w:rPr>
      <w:rFonts w:ascii="Times New Roman" w:hAnsi="Times New Roman"/>
      <w:i/>
      <w:iCs/>
      <w:color w:val="2F5496"/>
      <w:kern w:val="0"/>
      <w:sz w:val="28"/>
      <w:lang w:val="ro-RO"/>
      <w14:ligatures w14:val="none"/>
    </w:rPr>
  </w:style>
  <w:style w:type="character" w:customStyle="1" w:styleId="IntenseQuoteChar">
    <w:name w:val="Intense Quote Char"/>
    <w:basedOn w:val="DefaultParagraphFont"/>
    <w:link w:val="IntenseQuote"/>
    <w:uiPriority w:val="30"/>
    <w:rsid w:val="00CC0A57"/>
    <w:rPr>
      <w:rFonts w:ascii="Times New Roman" w:hAnsi="Times New Roman"/>
      <w:i/>
      <w:iCs/>
      <w:color w:val="2F5496"/>
      <w:kern w:val="0"/>
      <w:sz w:val="28"/>
      <w14:ligatures w14:val="none"/>
    </w:rPr>
  </w:style>
  <w:style w:type="character" w:customStyle="1" w:styleId="IntenseReference1">
    <w:name w:val="Intense Reference1"/>
    <w:basedOn w:val="DefaultParagraphFont"/>
    <w:uiPriority w:val="32"/>
    <w:qFormat/>
    <w:rsid w:val="00CC0A57"/>
    <w:rPr>
      <w:b/>
      <w:bCs/>
      <w:smallCaps/>
      <w:color w:val="2F5496"/>
      <w:spacing w:val="5"/>
    </w:rPr>
  </w:style>
  <w:style w:type="table" w:styleId="TableGrid">
    <w:name w:val="Table Grid"/>
    <w:basedOn w:val="TableNormal"/>
    <w:uiPriority w:val="39"/>
    <w:rsid w:val="00CC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CC0A5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CC0A5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CC0A5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CC0A5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CC0A5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CC0A5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CC0A5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CC0A5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C0A5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C0A57"/>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TitleChar1">
    <w:name w:val="Title Char1"/>
    <w:basedOn w:val="DefaultParagraphFont"/>
    <w:uiPriority w:val="10"/>
    <w:rsid w:val="00CC0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A57"/>
    <w:pPr>
      <w:numPr>
        <w:ilvl w:val="1"/>
      </w:numPr>
    </w:pPr>
    <w:rPr>
      <w:rFonts w:eastAsia="Times New Roman" w:cs="Times New Roman"/>
      <w:color w:val="595959"/>
      <w:spacing w:val="15"/>
      <w:kern w:val="0"/>
      <w:sz w:val="28"/>
      <w:szCs w:val="28"/>
      <w14:ligatures w14:val="none"/>
    </w:rPr>
  </w:style>
  <w:style w:type="character" w:customStyle="1" w:styleId="SubtitleChar1">
    <w:name w:val="Subtitle Char1"/>
    <w:basedOn w:val="DefaultParagraphFont"/>
    <w:uiPriority w:val="11"/>
    <w:rsid w:val="00CC0A57"/>
    <w:rPr>
      <w:rFonts w:eastAsiaTheme="minorEastAsia"/>
      <w:color w:val="5A5A5A" w:themeColor="text1" w:themeTint="A5"/>
      <w:spacing w:val="15"/>
    </w:rPr>
  </w:style>
  <w:style w:type="paragraph" w:styleId="Quote">
    <w:name w:val="Quote"/>
    <w:basedOn w:val="Normal"/>
    <w:next w:val="Normal"/>
    <w:link w:val="QuoteChar"/>
    <w:uiPriority w:val="29"/>
    <w:qFormat/>
    <w:rsid w:val="00CC0A57"/>
    <w:pPr>
      <w:spacing w:before="200"/>
      <w:ind w:left="864" w:right="864"/>
      <w:jc w:val="center"/>
    </w:pPr>
    <w:rPr>
      <w:rFonts w:ascii="Times New Roman" w:hAnsi="Times New Roman"/>
      <w:i/>
      <w:iCs/>
      <w:color w:val="404040"/>
      <w:kern w:val="0"/>
      <w:sz w:val="28"/>
      <w14:ligatures w14:val="none"/>
    </w:rPr>
  </w:style>
  <w:style w:type="character" w:customStyle="1" w:styleId="QuoteChar1">
    <w:name w:val="Quote Char1"/>
    <w:basedOn w:val="DefaultParagraphFont"/>
    <w:uiPriority w:val="29"/>
    <w:rsid w:val="00CC0A57"/>
    <w:rPr>
      <w:i/>
      <w:iCs/>
      <w:color w:val="404040" w:themeColor="text1" w:themeTint="BF"/>
    </w:rPr>
  </w:style>
  <w:style w:type="character" w:styleId="IntenseEmphasis">
    <w:name w:val="Intense Emphasis"/>
    <w:basedOn w:val="DefaultParagraphFont"/>
    <w:uiPriority w:val="21"/>
    <w:qFormat/>
    <w:rsid w:val="00CC0A57"/>
    <w:rPr>
      <w:i/>
      <w:iCs/>
      <w:color w:val="4472C4" w:themeColor="accent1"/>
    </w:rPr>
  </w:style>
  <w:style w:type="paragraph" w:styleId="IntenseQuote">
    <w:name w:val="Intense Quote"/>
    <w:basedOn w:val="Normal"/>
    <w:next w:val="Normal"/>
    <w:link w:val="IntenseQuoteChar"/>
    <w:uiPriority w:val="30"/>
    <w:qFormat/>
    <w:rsid w:val="00CC0A57"/>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2F5496"/>
      <w:kern w:val="0"/>
      <w:sz w:val="28"/>
      <w14:ligatures w14:val="none"/>
    </w:rPr>
  </w:style>
  <w:style w:type="character" w:customStyle="1" w:styleId="IntenseQuoteChar1">
    <w:name w:val="Intense Quote Char1"/>
    <w:basedOn w:val="DefaultParagraphFont"/>
    <w:uiPriority w:val="30"/>
    <w:rsid w:val="00CC0A57"/>
    <w:rPr>
      <w:i/>
      <w:iCs/>
      <w:color w:val="4472C4" w:themeColor="accent1"/>
    </w:rPr>
  </w:style>
  <w:style w:type="character" w:styleId="IntenseReference">
    <w:name w:val="Intense Reference"/>
    <w:basedOn w:val="DefaultParagraphFont"/>
    <w:uiPriority w:val="32"/>
    <w:qFormat/>
    <w:rsid w:val="00CC0A57"/>
    <w:rPr>
      <w:b/>
      <w:bCs/>
      <w:smallCaps/>
      <w:color w:val="4472C4" w:themeColor="accent1"/>
      <w:spacing w:val="5"/>
    </w:rPr>
  </w:style>
  <w:style w:type="paragraph" w:styleId="Revision">
    <w:name w:val="Revision"/>
    <w:hidden/>
    <w:uiPriority w:val="99"/>
    <w:semiHidden/>
    <w:rsid w:val="00CC0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5835</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I. Chicu</dc:creator>
  <cp:lastModifiedBy>Tatiana I. Chicu</cp:lastModifiedBy>
  <cp:revision>3</cp:revision>
  <dcterms:created xsi:type="dcterms:W3CDTF">2026-03-05T11:40:00Z</dcterms:created>
  <dcterms:modified xsi:type="dcterms:W3CDTF">2026-03-05T11:49:00Z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2026-03-02T06:41:23Z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4d8da86f-718c-4d70-8004-c61dd646a08a</vt:lpwstr>
  </property>
  <property fmtid="{D5CDD505-2E9C-101B-9397-08002B2CF9AE}" pid="8" name="MSIP_Label_38962dcf-d39f-4edc-a396-338a56ba9170_ContentBits">
    <vt:lpwstr>0</vt:lpwstr>
  </property>
</Properties>
</file>